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B354D">
      <w:pPr>
        <w:ind w:left="420"/>
        <w:jc w:val="center"/>
        <w:rPr>
          <w:b/>
          <w:bCs/>
          <w:sz w:val="24"/>
        </w:rPr>
      </w:pPr>
      <w:r>
        <w:rPr>
          <w:rFonts w:hint="eastAsia"/>
          <w:b/>
          <w:bCs/>
          <w:sz w:val="24"/>
        </w:rPr>
        <w:t>采购需求书</w:t>
      </w:r>
    </w:p>
    <w:p w14:paraId="349C04A8">
      <w:pPr>
        <w:numPr>
          <w:ilvl w:val="0"/>
          <w:numId w:val="1"/>
        </w:numPr>
        <w:rPr>
          <w:sz w:val="24"/>
        </w:rPr>
      </w:pPr>
      <w:r>
        <w:rPr>
          <w:rFonts w:hint="eastAsia"/>
          <w:b/>
          <w:bCs/>
          <w:sz w:val="24"/>
        </w:rPr>
        <w:t>项目名称</w:t>
      </w:r>
    </w:p>
    <w:p w14:paraId="52DB4A24">
      <w:pPr>
        <w:ind w:firstLine="630" w:firstLineChars="300"/>
        <w:rPr>
          <w:color w:val="FF0000"/>
        </w:rPr>
      </w:pPr>
      <w:r>
        <w:rPr>
          <w:color w:val="FF0000"/>
        </w:rPr>
        <w:t>南方医科大学</w:t>
      </w:r>
      <w:r>
        <w:rPr>
          <w:rFonts w:hint="eastAsia"/>
          <w:color w:val="FF0000"/>
        </w:rPr>
        <w:t>中西医结合</w:t>
      </w:r>
      <w:r>
        <w:rPr>
          <w:color w:val="FF0000"/>
        </w:rPr>
        <w:t>医院</w:t>
      </w:r>
      <w:r>
        <w:rPr>
          <w:rFonts w:hint="eastAsia"/>
          <w:color w:val="FF0000"/>
          <w:lang w:val="en-US" w:eastAsia="zh-CN"/>
        </w:rPr>
        <w:t>12号楼输血科杂物电梯采购安装</w:t>
      </w:r>
      <w:r>
        <w:rPr>
          <w:rFonts w:hint="eastAsia"/>
          <w:color w:val="FF0000"/>
        </w:rPr>
        <w:t>项目</w:t>
      </w:r>
    </w:p>
    <w:p w14:paraId="559FD485">
      <w:pPr>
        <w:rPr>
          <w:sz w:val="24"/>
        </w:rPr>
      </w:pPr>
    </w:p>
    <w:p w14:paraId="3B2706F2">
      <w:pPr>
        <w:numPr>
          <w:ilvl w:val="0"/>
          <w:numId w:val="1"/>
        </w:numPr>
        <w:rPr>
          <w:b/>
          <w:bCs/>
          <w:sz w:val="24"/>
        </w:rPr>
      </w:pPr>
      <w:bookmarkStart w:id="7" w:name="_GoBack"/>
      <w:bookmarkEnd w:id="7"/>
      <w:r>
        <w:rPr>
          <w:rFonts w:hint="eastAsia"/>
          <w:b/>
          <w:bCs/>
          <w:sz w:val="24"/>
        </w:rPr>
        <w:t>项目需求（以下内容仅为参考，具体事宜可以与招标办人员沟通）</w:t>
      </w:r>
    </w:p>
    <w:p w14:paraId="123EA7C5">
      <w:pPr>
        <w:rPr>
          <w:sz w:val="24"/>
        </w:rPr>
      </w:pPr>
    </w:p>
    <w:p w14:paraId="6F7ECC4E">
      <w:pPr>
        <w:rPr>
          <w:sz w:val="24"/>
        </w:rPr>
      </w:pPr>
      <w:r>
        <w:rPr>
          <w:rFonts w:hint="eastAsia"/>
          <w:sz w:val="24"/>
        </w:rPr>
        <w:t>（一）项目内容：</w:t>
      </w:r>
    </w:p>
    <w:tbl>
      <w:tblPr>
        <w:tblStyle w:val="7"/>
        <w:tblpPr w:leftFromText="180" w:rightFromText="180" w:vertAnchor="text" w:horzAnchor="page" w:tblpX="1640" w:tblpY="224"/>
        <w:tblOverlap w:val="never"/>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457"/>
        <w:gridCol w:w="1784"/>
        <w:gridCol w:w="2871"/>
      </w:tblGrid>
      <w:tr w14:paraId="52CB5F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57" w:type="dxa"/>
          </w:tcPr>
          <w:p w14:paraId="46F374D9">
            <w:pPr>
              <w:adjustRightInd w:val="0"/>
              <w:snapToGrid w:val="0"/>
              <w:spacing w:line="300" w:lineRule="auto"/>
              <w:ind w:firstLine="480" w:firstLineChars="200"/>
              <w:jc w:val="both"/>
              <w:rPr>
                <w:rFonts w:ascii="Arial Unicode MS" w:hAnsi="Arial Unicode MS" w:cs="宋体"/>
                <w:sz w:val="24"/>
              </w:rPr>
            </w:pPr>
            <w:r>
              <w:rPr>
                <w:rFonts w:hint="eastAsia" w:ascii="Arial Unicode MS" w:hAnsi="Arial Unicode MS" w:cs="宋体"/>
                <w:sz w:val="24"/>
              </w:rPr>
              <w:t>采购标的</w:t>
            </w:r>
          </w:p>
        </w:tc>
        <w:tc>
          <w:tcPr>
            <w:tcW w:w="1784" w:type="dxa"/>
          </w:tcPr>
          <w:p w14:paraId="7854AEB3">
            <w:pPr>
              <w:adjustRightInd w:val="0"/>
              <w:snapToGrid w:val="0"/>
              <w:spacing w:line="300" w:lineRule="auto"/>
              <w:jc w:val="center"/>
              <w:rPr>
                <w:rFonts w:ascii="Arial Unicode MS" w:hAnsi="Arial Unicode MS" w:cs="宋体"/>
                <w:sz w:val="24"/>
              </w:rPr>
            </w:pPr>
            <w:r>
              <w:rPr>
                <w:rFonts w:hint="eastAsia" w:ascii="Arial Unicode MS" w:hAnsi="Arial Unicode MS" w:cs="宋体"/>
                <w:sz w:val="24"/>
              </w:rPr>
              <w:t>数量（单位）</w:t>
            </w:r>
          </w:p>
        </w:tc>
        <w:tc>
          <w:tcPr>
            <w:tcW w:w="2871" w:type="dxa"/>
          </w:tcPr>
          <w:p w14:paraId="0E9B7373">
            <w:pPr>
              <w:adjustRightInd w:val="0"/>
              <w:snapToGrid w:val="0"/>
              <w:spacing w:line="300" w:lineRule="auto"/>
              <w:jc w:val="center"/>
              <w:rPr>
                <w:rFonts w:ascii="Arial Unicode MS" w:hAnsi="Arial Unicode MS" w:cs="宋体"/>
                <w:sz w:val="24"/>
              </w:rPr>
            </w:pPr>
            <w:r>
              <w:rPr>
                <w:rFonts w:hint="eastAsia" w:ascii="Arial Unicode MS" w:hAnsi="Arial Unicode MS" w:cs="宋体"/>
                <w:sz w:val="24"/>
              </w:rPr>
              <w:t>预算(元)</w:t>
            </w:r>
          </w:p>
        </w:tc>
      </w:tr>
      <w:tr w14:paraId="4525D5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57" w:type="dxa"/>
            <w:vAlign w:val="center"/>
          </w:tcPr>
          <w:p w14:paraId="5F8A7E88">
            <w:pPr>
              <w:jc w:val="center"/>
              <w:rPr>
                <w:rFonts w:hint="default" w:ascii="Arial Unicode MS" w:hAnsi="Arial Unicode MS" w:cs="宋体"/>
                <w:sz w:val="24"/>
                <w:lang w:val="en-US"/>
              </w:rPr>
            </w:pPr>
            <w:r>
              <w:rPr>
                <w:color w:val="FF0000"/>
              </w:rPr>
              <w:t>南方医科大学</w:t>
            </w:r>
            <w:r>
              <w:rPr>
                <w:rFonts w:hint="eastAsia"/>
                <w:color w:val="FF0000"/>
              </w:rPr>
              <w:t>中西医结合</w:t>
            </w:r>
            <w:r>
              <w:rPr>
                <w:color w:val="FF0000"/>
              </w:rPr>
              <w:t>医院</w:t>
            </w:r>
            <w:r>
              <w:rPr>
                <w:rFonts w:hint="eastAsia"/>
                <w:color w:val="FF0000"/>
                <w:lang w:val="en-US" w:eastAsia="zh-CN"/>
              </w:rPr>
              <w:t>12号楼输血科杂物电梯采购安装项目</w:t>
            </w:r>
          </w:p>
        </w:tc>
        <w:tc>
          <w:tcPr>
            <w:tcW w:w="1784" w:type="dxa"/>
            <w:vAlign w:val="center"/>
          </w:tcPr>
          <w:p w14:paraId="2D182109">
            <w:pPr>
              <w:adjustRightInd w:val="0"/>
              <w:snapToGrid w:val="0"/>
              <w:spacing w:line="300" w:lineRule="auto"/>
              <w:jc w:val="center"/>
              <w:rPr>
                <w:rFonts w:hint="eastAsia" w:ascii="Arial Unicode MS" w:hAnsi="Arial Unicode MS" w:cs="宋体" w:eastAsiaTheme="minorEastAsia"/>
                <w:sz w:val="24"/>
                <w:lang w:eastAsia="zh-CN"/>
              </w:rPr>
            </w:pPr>
            <w:r>
              <w:rPr>
                <w:rFonts w:hint="eastAsia" w:ascii="Arial Unicode MS" w:hAnsi="Arial Unicode MS" w:cs="宋体"/>
                <w:sz w:val="24"/>
              </w:rPr>
              <w:t>一</w:t>
            </w:r>
            <w:r>
              <w:rPr>
                <w:rFonts w:hint="eastAsia" w:ascii="Arial Unicode MS" w:hAnsi="Arial Unicode MS" w:cs="宋体"/>
                <w:sz w:val="24"/>
                <w:lang w:val="en-US" w:eastAsia="zh-CN"/>
              </w:rPr>
              <w:t>台</w:t>
            </w:r>
          </w:p>
        </w:tc>
        <w:tc>
          <w:tcPr>
            <w:tcW w:w="2871" w:type="dxa"/>
            <w:vAlign w:val="center"/>
          </w:tcPr>
          <w:p w14:paraId="0D6BF97E">
            <w:pPr>
              <w:adjustRightInd w:val="0"/>
              <w:snapToGrid w:val="0"/>
              <w:spacing w:line="300" w:lineRule="auto"/>
              <w:jc w:val="center"/>
              <w:rPr>
                <w:rFonts w:ascii="Arial Unicode MS" w:hAnsi="Arial Unicode MS" w:cs="宋体"/>
                <w:sz w:val="24"/>
              </w:rPr>
            </w:pPr>
          </w:p>
        </w:tc>
      </w:tr>
    </w:tbl>
    <w:p w14:paraId="32D8379E">
      <w:pPr>
        <w:rPr>
          <w:sz w:val="24"/>
        </w:rPr>
      </w:pPr>
    </w:p>
    <w:p w14:paraId="737F188A">
      <w:pPr>
        <w:numPr>
          <w:ilvl w:val="0"/>
          <w:numId w:val="2"/>
        </w:numPr>
        <w:rPr>
          <w:rFonts w:hint="eastAsia"/>
          <w:sz w:val="24"/>
        </w:rPr>
      </w:pPr>
      <w:r>
        <w:rPr>
          <w:rFonts w:hint="eastAsia"/>
          <w:sz w:val="24"/>
        </w:rPr>
        <w:t>项目背景：</w:t>
      </w:r>
      <w:r>
        <w:rPr>
          <w:rFonts w:hint="eastAsia"/>
          <w:sz w:val="24"/>
          <w:lang w:val="en-US" w:eastAsia="zh-CN"/>
        </w:rPr>
        <w:t>12</w:t>
      </w:r>
      <w:r>
        <w:rPr>
          <w:rFonts w:hint="eastAsia"/>
          <w:sz w:val="24"/>
        </w:rPr>
        <w:t>号楼</w:t>
      </w:r>
      <w:r>
        <w:rPr>
          <w:rFonts w:hint="eastAsia"/>
          <w:sz w:val="24"/>
          <w:lang w:val="en-US" w:eastAsia="zh-CN"/>
        </w:rPr>
        <w:t>由于实际使用需要，三层输血科采购安装一台杂物电梯</w:t>
      </w:r>
      <w:r>
        <w:rPr>
          <w:rFonts w:hint="eastAsia"/>
          <w:sz w:val="24"/>
        </w:rPr>
        <w:t>。</w:t>
      </w:r>
    </w:p>
    <w:p w14:paraId="24713EA4">
      <w:pPr>
        <w:numPr>
          <w:ilvl w:val="0"/>
          <w:numId w:val="0"/>
        </w:numPr>
        <w:rPr>
          <w:rFonts w:hint="eastAsia"/>
          <w:sz w:val="24"/>
        </w:rPr>
      </w:pPr>
    </w:p>
    <w:p w14:paraId="3470A29E">
      <w:pPr>
        <w:widowControl/>
        <w:tabs>
          <w:tab w:val="left" w:pos="640"/>
        </w:tabs>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w:t>
      </w:r>
      <w:r>
        <w:rPr>
          <w:rFonts w:hint="eastAsia" w:ascii="宋体" w:hAnsi="宋体" w:eastAsia="宋体" w:cs="宋体"/>
          <w:sz w:val="24"/>
          <w:szCs w:val="24"/>
        </w:rPr>
        <w:t xml:space="preserve">  电梯</w:t>
      </w:r>
      <w:r>
        <w:rPr>
          <w:rFonts w:hint="eastAsia" w:ascii="宋体" w:hAnsi="宋体" w:eastAsia="宋体" w:cs="宋体"/>
          <w:sz w:val="24"/>
          <w:szCs w:val="24"/>
          <w:lang w:val="en-US" w:eastAsia="zh-CN"/>
        </w:rPr>
        <w:t>主要规格</w:t>
      </w:r>
    </w:p>
    <w:tbl>
      <w:tblPr>
        <w:tblStyle w:val="7"/>
        <w:tblpPr w:leftFromText="180" w:rightFromText="180" w:vertAnchor="text" w:horzAnchor="page" w:tblpX="1435" w:tblpY="233"/>
        <w:tblOverlap w:val="never"/>
        <w:tblW w:w="93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1353"/>
        <w:gridCol w:w="1464"/>
        <w:gridCol w:w="1883"/>
        <w:gridCol w:w="850"/>
        <w:gridCol w:w="1000"/>
        <w:gridCol w:w="1262"/>
        <w:gridCol w:w="800"/>
      </w:tblGrid>
      <w:tr w14:paraId="09A67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784" w:type="dxa"/>
            <w:tcBorders>
              <w:top w:val="single" w:color="auto" w:sz="4" w:space="0"/>
              <w:left w:val="single" w:color="auto" w:sz="4" w:space="0"/>
              <w:bottom w:val="single" w:color="auto" w:sz="4" w:space="0"/>
              <w:right w:val="single" w:color="auto" w:sz="4" w:space="0"/>
            </w:tcBorders>
            <w:vAlign w:val="center"/>
          </w:tcPr>
          <w:p w14:paraId="4FAA9A82">
            <w:pPr>
              <w:widowControl/>
              <w:tabs>
                <w:tab w:val="left" w:pos="640"/>
              </w:tabs>
              <w:jc w:val="center"/>
              <w:rPr>
                <w:rFonts w:hint="eastAsia" w:ascii="宋体" w:hAnsi="宋体" w:eastAsia="宋体" w:cs="宋体"/>
                <w:sz w:val="24"/>
                <w:szCs w:val="24"/>
              </w:rPr>
            </w:pPr>
            <w:r>
              <w:rPr>
                <w:rFonts w:hint="eastAsia" w:ascii="宋体" w:hAnsi="宋体" w:eastAsia="宋体" w:cs="宋体"/>
                <w:sz w:val="24"/>
                <w:szCs w:val="24"/>
              </w:rPr>
              <w:t>序号</w:t>
            </w:r>
          </w:p>
        </w:tc>
        <w:tc>
          <w:tcPr>
            <w:tcW w:w="1353" w:type="dxa"/>
            <w:tcBorders>
              <w:top w:val="single" w:color="auto" w:sz="4" w:space="0"/>
              <w:left w:val="single" w:color="auto" w:sz="4" w:space="0"/>
              <w:bottom w:val="single" w:color="auto" w:sz="4" w:space="0"/>
              <w:right w:val="single" w:color="auto" w:sz="4" w:space="0"/>
            </w:tcBorders>
            <w:vAlign w:val="center"/>
          </w:tcPr>
          <w:p w14:paraId="27186983">
            <w:pPr>
              <w:widowControl/>
              <w:tabs>
                <w:tab w:val="left" w:pos="640"/>
              </w:tabs>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电梯</w:t>
            </w:r>
          </w:p>
        </w:tc>
        <w:tc>
          <w:tcPr>
            <w:tcW w:w="1464" w:type="dxa"/>
            <w:tcBorders>
              <w:top w:val="single" w:color="auto" w:sz="4" w:space="0"/>
              <w:left w:val="single" w:color="auto" w:sz="4" w:space="0"/>
              <w:bottom w:val="single" w:color="auto" w:sz="4" w:space="0"/>
              <w:right w:val="single" w:color="auto" w:sz="4" w:space="0"/>
            </w:tcBorders>
            <w:vAlign w:val="center"/>
          </w:tcPr>
          <w:p w14:paraId="54175973">
            <w:pPr>
              <w:widowControl/>
              <w:tabs>
                <w:tab w:val="left" w:pos="640"/>
              </w:tabs>
              <w:jc w:val="center"/>
              <w:rPr>
                <w:rFonts w:hint="eastAsia" w:ascii="宋体" w:hAnsi="宋体" w:eastAsia="宋体" w:cs="宋体"/>
                <w:sz w:val="24"/>
                <w:szCs w:val="24"/>
              </w:rPr>
            </w:pPr>
            <w:r>
              <w:rPr>
                <w:rFonts w:hint="eastAsia" w:ascii="宋体" w:hAnsi="宋体" w:eastAsia="宋体" w:cs="宋体"/>
                <w:sz w:val="24"/>
                <w:szCs w:val="24"/>
                <w:lang w:val="en-US" w:eastAsia="zh-CN"/>
              </w:rPr>
              <w:t>井道</w:t>
            </w:r>
            <w:r>
              <w:rPr>
                <w:rFonts w:hint="eastAsia" w:ascii="宋体" w:hAnsi="宋体" w:eastAsia="宋体" w:cs="宋体"/>
                <w:sz w:val="24"/>
                <w:szCs w:val="24"/>
              </w:rPr>
              <w:t>尺寸</w:t>
            </w:r>
          </w:p>
          <w:p w14:paraId="50ECD46D">
            <w:pPr>
              <w:widowControl/>
              <w:tabs>
                <w:tab w:val="left" w:pos="640"/>
              </w:tabs>
              <w:jc w:val="center"/>
              <w:rPr>
                <w:rFonts w:hint="eastAsia" w:ascii="宋体" w:hAnsi="宋体" w:eastAsia="宋体" w:cs="宋体"/>
                <w:sz w:val="24"/>
                <w:szCs w:val="24"/>
              </w:rPr>
            </w:pPr>
            <w:r>
              <w:rPr>
                <w:rFonts w:hint="eastAsia" w:ascii="宋体" w:hAnsi="宋体" w:eastAsia="宋体" w:cs="宋体"/>
                <w:sz w:val="24"/>
                <w:szCs w:val="24"/>
              </w:rPr>
              <w:t>(宽×深)</w:t>
            </w:r>
          </w:p>
        </w:tc>
        <w:tc>
          <w:tcPr>
            <w:tcW w:w="1883" w:type="dxa"/>
            <w:tcBorders>
              <w:top w:val="single" w:color="auto" w:sz="4" w:space="0"/>
              <w:left w:val="single" w:color="auto" w:sz="4" w:space="0"/>
              <w:bottom w:val="single" w:color="auto" w:sz="4" w:space="0"/>
              <w:right w:val="single" w:color="auto" w:sz="4" w:space="0"/>
            </w:tcBorders>
            <w:vAlign w:val="center"/>
          </w:tcPr>
          <w:p w14:paraId="41E39A36">
            <w:pPr>
              <w:widowControl/>
              <w:tabs>
                <w:tab w:val="left" w:pos="640"/>
              </w:tabs>
              <w:jc w:val="center"/>
              <w:rPr>
                <w:rFonts w:hint="eastAsia" w:ascii="宋体" w:hAnsi="宋体" w:eastAsia="宋体" w:cs="宋体"/>
                <w:sz w:val="24"/>
                <w:szCs w:val="24"/>
              </w:rPr>
            </w:pPr>
            <w:r>
              <w:rPr>
                <w:rFonts w:hint="eastAsia" w:ascii="宋体" w:hAnsi="宋体" w:eastAsia="宋体" w:cs="宋体"/>
                <w:sz w:val="24"/>
                <w:szCs w:val="24"/>
              </w:rPr>
              <w:t>轿厢尺寸</w:t>
            </w:r>
          </w:p>
          <w:p w14:paraId="6EB68766">
            <w:pPr>
              <w:widowControl/>
              <w:tabs>
                <w:tab w:val="left" w:pos="640"/>
              </w:tabs>
              <w:jc w:val="center"/>
              <w:rPr>
                <w:rFonts w:hint="eastAsia" w:ascii="宋体" w:hAnsi="宋体" w:eastAsia="宋体" w:cs="宋体"/>
                <w:sz w:val="24"/>
                <w:szCs w:val="24"/>
              </w:rPr>
            </w:pPr>
            <w:r>
              <w:rPr>
                <w:rFonts w:hint="eastAsia" w:ascii="宋体" w:hAnsi="宋体" w:eastAsia="宋体" w:cs="宋体"/>
                <w:sz w:val="24"/>
                <w:szCs w:val="24"/>
              </w:rPr>
              <w:t>(宽×深×高)</w:t>
            </w:r>
          </w:p>
        </w:tc>
        <w:tc>
          <w:tcPr>
            <w:tcW w:w="850" w:type="dxa"/>
            <w:tcBorders>
              <w:top w:val="single" w:color="auto" w:sz="4" w:space="0"/>
              <w:left w:val="single" w:color="auto" w:sz="4" w:space="0"/>
              <w:bottom w:val="single" w:color="auto" w:sz="4" w:space="0"/>
              <w:right w:val="single" w:color="auto" w:sz="4" w:space="0"/>
            </w:tcBorders>
            <w:vAlign w:val="center"/>
          </w:tcPr>
          <w:p w14:paraId="5E8FA198">
            <w:pPr>
              <w:widowControl/>
              <w:tabs>
                <w:tab w:val="left" w:pos="640"/>
              </w:tabs>
              <w:jc w:val="center"/>
              <w:rPr>
                <w:rFonts w:hint="eastAsia" w:ascii="宋体" w:hAnsi="宋体" w:eastAsia="宋体" w:cs="宋体"/>
                <w:sz w:val="24"/>
                <w:szCs w:val="24"/>
              </w:rPr>
            </w:pPr>
            <w:r>
              <w:rPr>
                <w:rFonts w:hint="eastAsia" w:ascii="宋体" w:hAnsi="宋体" w:eastAsia="宋体" w:cs="宋体"/>
                <w:sz w:val="24"/>
                <w:szCs w:val="24"/>
              </w:rPr>
              <w:t>载量 kg</w:t>
            </w:r>
          </w:p>
        </w:tc>
        <w:tc>
          <w:tcPr>
            <w:tcW w:w="1000" w:type="dxa"/>
            <w:tcBorders>
              <w:top w:val="single" w:color="auto" w:sz="4" w:space="0"/>
              <w:left w:val="single" w:color="auto" w:sz="4" w:space="0"/>
              <w:bottom w:val="single" w:color="auto" w:sz="4" w:space="0"/>
              <w:right w:val="single" w:color="auto" w:sz="4" w:space="0"/>
            </w:tcBorders>
            <w:vAlign w:val="center"/>
          </w:tcPr>
          <w:p w14:paraId="0D6ABFDE">
            <w:pPr>
              <w:widowControl/>
              <w:tabs>
                <w:tab w:val="left" w:pos="640"/>
              </w:tabs>
              <w:jc w:val="center"/>
              <w:rPr>
                <w:rFonts w:hint="eastAsia" w:ascii="宋体" w:hAnsi="宋体" w:eastAsia="宋体" w:cs="宋体"/>
                <w:sz w:val="24"/>
                <w:szCs w:val="24"/>
              </w:rPr>
            </w:pPr>
            <w:r>
              <w:rPr>
                <w:rFonts w:hint="eastAsia" w:ascii="宋体" w:hAnsi="宋体" w:eastAsia="宋体" w:cs="宋体"/>
                <w:sz w:val="24"/>
                <w:szCs w:val="24"/>
              </w:rPr>
              <w:t>速度</w:t>
            </w:r>
          </w:p>
          <w:p w14:paraId="2DBA78C9">
            <w:pPr>
              <w:widowControl/>
              <w:tabs>
                <w:tab w:val="left" w:pos="640"/>
              </w:tabs>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m/s</w:t>
            </w:r>
          </w:p>
        </w:tc>
        <w:tc>
          <w:tcPr>
            <w:tcW w:w="1262" w:type="dxa"/>
            <w:tcBorders>
              <w:top w:val="single" w:color="auto" w:sz="4" w:space="0"/>
              <w:left w:val="single" w:color="auto" w:sz="4" w:space="0"/>
              <w:bottom w:val="single" w:color="auto" w:sz="4" w:space="0"/>
              <w:right w:val="single" w:color="auto" w:sz="4" w:space="0"/>
            </w:tcBorders>
            <w:vAlign w:val="center"/>
          </w:tcPr>
          <w:p w14:paraId="00B8CCE4">
            <w:pPr>
              <w:widowControl/>
              <w:tabs>
                <w:tab w:val="left" w:pos="640"/>
              </w:tabs>
              <w:jc w:val="center"/>
              <w:rPr>
                <w:rFonts w:hint="eastAsia" w:ascii="宋体" w:hAnsi="宋体" w:eastAsia="宋体" w:cs="宋体"/>
                <w:sz w:val="24"/>
                <w:szCs w:val="24"/>
              </w:rPr>
            </w:pPr>
            <w:r>
              <w:rPr>
                <w:rFonts w:hint="eastAsia" w:ascii="宋体" w:hAnsi="宋体" w:eastAsia="宋体" w:cs="宋体"/>
                <w:sz w:val="24"/>
                <w:szCs w:val="24"/>
              </w:rPr>
              <w:t>层/站/门</w:t>
            </w:r>
          </w:p>
        </w:tc>
        <w:tc>
          <w:tcPr>
            <w:tcW w:w="800" w:type="dxa"/>
            <w:tcBorders>
              <w:top w:val="single" w:color="auto" w:sz="4" w:space="0"/>
              <w:left w:val="single" w:color="auto" w:sz="4" w:space="0"/>
              <w:bottom w:val="single" w:color="auto" w:sz="4" w:space="0"/>
              <w:right w:val="single" w:color="auto" w:sz="4" w:space="0"/>
            </w:tcBorders>
            <w:vAlign w:val="center"/>
          </w:tcPr>
          <w:p w14:paraId="091CA38E">
            <w:pPr>
              <w:widowControl/>
              <w:tabs>
                <w:tab w:val="left" w:pos="640"/>
              </w:tabs>
              <w:jc w:val="center"/>
              <w:rPr>
                <w:rFonts w:hint="eastAsia" w:ascii="宋体" w:hAnsi="宋体" w:eastAsia="宋体" w:cs="宋体"/>
                <w:sz w:val="24"/>
                <w:szCs w:val="24"/>
              </w:rPr>
            </w:pPr>
            <w:r>
              <w:rPr>
                <w:rFonts w:hint="eastAsia" w:ascii="宋体" w:hAnsi="宋体" w:eastAsia="宋体" w:cs="宋体"/>
                <w:sz w:val="24"/>
                <w:szCs w:val="24"/>
              </w:rPr>
              <w:t>台数</w:t>
            </w:r>
          </w:p>
        </w:tc>
      </w:tr>
      <w:tr w14:paraId="433E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84" w:type="dxa"/>
            <w:tcBorders>
              <w:top w:val="single" w:color="auto" w:sz="4" w:space="0"/>
              <w:left w:val="single" w:color="auto" w:sz="4" w:space="0"/>
              <w:bottom w:val="single" w:color="auto" w:sz="4" w:space="0"/>
              <w:right w:val="single" w:color="auto" w:sz="4" w:space="0"/>
            </w:tcBorders>
            <w:vAlign w:val="center"/>
          </w:tcPr>
          <w:p w14:paraId="20FE6F5A">
            <w:pPr>
              <w:widowControl/>
              <w:tabs>
                <w:tab w:val="left" w:pos="640"/>
              </w:tabs>
              <w:jc w:val="center"/>
              <w:rPr>
                <w:rFonts w:hint="eastAsia" w:ascii="宋体" w:hAnsi="宋体" w:eastAsia="宋体" w:cs="宋体"/>
                <w:sz w:val="24"/>
                <w:szCs w:val="24"/>
              </w:rPr>
            </w:pPr>
            <w:r>
              <w:rPr>
                <w:rFonts w:hint="eastAsia" w:ascii="宋体" w:hAnsi="宋体" w:eastAsia="宋体" w:cs="宋体"/>
                <w:sz w:val="24"/>
                <w:szCs w:val="24"/>
              </w:rPr>
              <w:t>1</w:t>
            </w:r>
          </w:p>
        </w:tc>
        <w:tc>
          <w:tcPr>
            <w:tcW w:w="1353" w:type="dxa"/>
            <w:tcBorders>
              <w:top w:val="single" w:color="auto" w:sz="4" w:space="0"/>
              <w:left w:val="single" w:color="auto" w:sz="4" w:space="0"/>
              <w:bottom w:val="single" w:color="auto" w:sz="4" w:space="0"/>
              <w:right w:val="single" w:color="auto" w:sz="4" w:space="0"/>
            </w:tcBorders>
            <w:vAlign w:val="center"/>
          </w:tcPr>
          <w:p w14:paraId="00AA5530">
            <w:pPr>
              <w:widowControl/>
              <w:tabs>
                <w:tab w:val="left" w:pos="640"/>
              </w:tabs>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杂物电梯（窗口式）</w:t>
            </w:r>
          </w:p>
        </w:tc>
        <w:tc>
          <w:tcPr>
            <w:tcW w:w="1464" w:type="dxa"/>
            <w:tcBorders>
              <w:top w:val="single" w:color="auto" w:sz="4" w:space="0"/>
              <w:left w:val="single" w:color="auto" w:sz="4" w:space="0"/>
              <w:right w:val="single" w:color="auto" w:sz="4" w:space="0"/>
            </w:tcBorders>
            <w:vAlign w:val="center"/>
          </w:tcPr>
          <w:p w14:paraId="06018BCE">
            <w:pPr>
              <w:widowControl/>
              <w:tabs>
                <w:tab w:val="left" w:pos="640"/>
              </w:tabs>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800*1000</w:t>
            </w:r>
          </w:p>
        </w:tc>
        <w:tc>
          <w:tcPr>
            <w:tcW w:w="1883" w:type="dxa"/>
            <w:tcBorders>
              <w:top w:val="single" w:color="auto" w:sz="4" w:space="0"/>
              <w:left w:val="single" w:color="auto" w:sz="4" w:space="0"/>
              <w:bottom w:val="single" w:color="auto" w:sz="4" w:space="0"/>
              <w:right w:val="single" w:color="auto" w:sz="4" w:space="0"/>
            </w:tcBorders>
            <w:vAlign w:val="center"/>
          </w:tcPr>
          <w:p w14:paraId="6174B4BF">
            <w:pPr>
              <w:widowControl/>
              <w:tabs>
                <w:tab w:val="left" w:pos="640"/>
              </w:tabs>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500*500*800 </w:t>
            </w:r>
          </w:p>
        </w:tc>
        <w:tc>
          <w:tcPr>
            <w:tcW w:w="850" w:type="dxa"/>
            <w:tcBorders>
              <w:top w:val="single" w:color="auto" w:sz="4" w:space="0"/>
              <w:left w:val="single" w:color="auto" w:sz="4" w:space="0"/>
              <w:bottom w:val="single" w:color="auto" w:sz="4" w:space="0"/>
              <w:right w:val="single" w:color="auto" w:sz="4" w:space="0"/>
            </w:tcBorders>
            <w:vAlign w:val="center"/>
          </w:tcPr>
          <w:p w14:paraId="264E7869">
            <w:pPr>
              <w:widowControl/>
              <w:tabs>
                <w:tab w:val="left" w:pos="640"/>
              </w:tabs>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100</w:t>
            </w:r>
          </w:p>
        </w:tc>
        <w:tc>
          <w:tcPr>
            <w:tcW w:w="10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6ED4DA1">
            <w:pPr>
              <w:widowControl/>
              <w:tabs>
                <w:tab w:val="left" w:pos="640"/>
              </w:tabs>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0.4</w:t>
            </w:r>
          </w:p>
        </w:tc>
        <w:tc>
          <w:tcPr>
            <w:tcW w:w="1262" w:type="dxa"/>
            <w:tcBorders>
              <w:top w:val="single" w:color="auto" w:sz="4" w:space="0"/>
              <w:left w:val="single" w:color="auto" w:sz="4" w:space="0"/>
              <w:bottom w:val="single" w:color="auto" w:sz="4" w:space="0"/>
              <w:right w:val="single" w:color="auto" w:sz="4" w:space="0"/>
            </w:tcBorders>
            <w:vAlign w:val="center"/>
          </w:tcPr>
          <w:p w14:paraId="4F75E56A">
            <w:pPr>
              <w:widowControl/>
              <w:tabs>
                <w:tab w:val="left" w:pos="640"/>
              </w:tabs>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2/2/2</w:t>
            </w:r>
          </w:p>
        </w:tc>
        <w:tc>
          <w:tcPr>
            <w:tcW w:w="800" w:type="dxa"/>
            <w:tcBorders>
              <w:top w:val="single" w:color="auto" w:sz="4" w:space="0"/>
              <w:left w:val="single" w:color="auto" w:sz="4" w:space="0"/>
              <w:bottom w:val="single" w:color="auto" w:sz="4" w:space="0"/>
              <w:right w:val="single" w:color="auto" w:sz="4" w:space="0"/>
            </w:tcBorders>
            <w:vAlign w:val="center"/>
          </w:tcPr>
          <w:p w14:paraId="4CD277D9">
            <w:pPr>
              <w:widowControl/>
              <w:tabs>
                <w:tab w:val="left" w:pos="640"/>
              </w:tabs>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r>
    </w:tbl>
    <w:p w14:paraId="7975B09D">
      <w:pPr>
        <w:numPr>
          <w:ilvl w:val="0"/>
          <w:numId w:val="0"/>
        </w:numPr>
        <w:rPr>
          <w:rFonts w:hint="eastAsia" w:eastAsiaTheme="minorEastAsia"/>
          <w:sz w:val="24"/>
          <w:lang w:eastAsia="zh-CN"/>
        </w:rPr>
      </w:pPr>
      <w:r>
        <w:rPr>
          <w:rFonts w:hint="eastAsia"/>
          <w:sz w:val="24"/>
          <w:lang w:val="en-US" w:eastAsia="zh-CN"/>
        </w:rPr>
        <w:t>备注：</w:t>
      </w:r>
      <w:r>
        <w:rPr>
          <w:rFonts w:hint="eastAsia" w:eastAsiaTheme="minorEastAsia"/>
          <w:sz w:val="24"/>
          <w:lang w:eastAsia="zh-CN"/>
        </w:rPr>
        <w:t>包含设备费、运输费、安装费、验收费、</w:t>
      </w:r>
      <w:r>
        <w:rPr>
          <w:rFonts w:hint="eastAsia"/>
          <w:sz w:val="24"/>
          <w:lang w:val="en-US" w:eastAsia="zh-CN"/>
        </w:rPr>
        <w:t>壹年质</w:t>
      </w:r>
      <w:r>
        <w:rPr>
          <w:rFonts w:hint="eastAsia" w:eastAsiaTheme="minorEastAsia"/>
          <w:sz w:val="24"/>
          <w:lang w:eastAsia="zh-CN"/>
        </w:rPr>
        <w:t>保费</w:t>
      </w:r>
      <w:r>
        <w:rPr>
          <w:rFonts w:hint="eastAsia"/>
          <w:sz w:val="24"/>
          <w:lang w:val="en-US" w:eastAsia="zh-CN"/>
        </w:rPr>
        <w:t>及井道改建、装饰</w:t>
      </w:r>
      <w:r>
        <w:rPr>
          <w:rFonts w:hint="eastAsia" w:eastAsiaTheme="minorEastAsia"/>
          <w:sz w:val="24"/>
          <w:lang w:eastAsia="zh-CN"/>
        </w:rPr>
        <w:t>。</w:t>
      </w:r>
    </w:p>
    <w:p w14:paraId="3F85BAC3">
      <w:pPr>
        <w:numPr>
          <w:ilvl w:val="0"/>
          <w:numId w:val="0"/>
        </w:numPr>
        <w:rPr>
          <w:rFonts w:hint="eastAsia"/>
          <w:sz w:val="24"/>
        </w:rPr>
      </w:pPr>
      <w:r>
        <w:rPr>
          <w:rFonts w:hint="eastAsia"/>
          <w:sz w:val="24"/>
          <w:lang w:eastAsia="zh-CN"/>
        </w:rPr>
        <w:t>（</w:t>
      </w:r>
      <w:r>
        <w:rPr>
          <w:rFonts w:hint="eastAsia"/>
          <w:sz w:val="24"/>
          <w:lang w:val="en-US" w:eastAsia="zh-CN"/>
        </w:rPr>
        <w:t>四</w:t>
      </w:r>
      <w:r>
        <w:rPr>
          <w:rFonts w:hint="eastAsia"/>
          <w:sz w:val="24"/>
          <w:lang w:eastAsia="zh-CN"/>
        </w:rPr>
        <w:t>）</w:t>
      </w:r>
      <w:r>
        <w:rPr>
          <w:rFonts w:hint="eastAsia"/>
          <w:sz w:val="24"/>
        </w:rPr>
        <w:t>施工工期：</w:t>
      </w:r>
    </w:p>
    <w:p w14:paraId="4A13EB79">
      <w:pPr>
        <w:numPr>
          <w:ilvl w:val="0"/>
          <w:numId w:val="0"/>
        </w:numPr>
        <w:rPr>
          <w:rFonts w:hint="eastAsia"/>
          <w:sz w:val="24"/>
        </w:rPr>
      </w:pPr>
      <w:r>
        <w:rPr>
          <w:rFonts w:hint="eastAsia"/>
          <w:sz w:val="24"/>
          <w:lang w:val="en-US" w:eastAsia="zh-CN"/>
        </w:rPr>
        <w:t>设备</w:t>
      </w:r>
      <w:r>
        <w:rPr>
          <w:rFonts w:hint="eastAsia"/>
          <w:sz w:val="24"/>
        </w:rPr>
        <w:t>生产周期为</w:t>
      </w:r>
      <w:r>
        <w:rPr>
          <w:rFonts w:hint="eastAsia"/>
          <w:sz w:val="24"/>
          <w:lang w:val="en-US" w:eastAsia="zh-CN"/>
        </w:rPr>
        <w:t>3</w:t>
      </w:r>
      <w:r>
        <w:rPr>
          <w:rFonts w:hint="eastAsia"/>
          <w:sz w:val="24"/>
        </w:rPr>
        <w:t>0个日历天</w:t>
      </w:r>
      <w:r>
        <w:rPr>
          <w:rFonts w:hint="eastAsia"/>
          <w:sz w:val="24"/>
          <w:lang w:eastAsia="zh-CN"/>
        </w:rPr>
        <w:t>、</w:t>
      </w:r>
      <w:r>
        <w:rPr>
          <w:rFonts w:hint="eastAsia"/>
          <w:sz w:val="24"/>
          <w:lang w:val="en-US" w:eastAsia="zh-CN"/>
        </w:rPr>
        <w:t>安装15天、井道改造及装饰30天。</w:t>
      </w:r>
    </w:p>
    <w:p w14:paraId="523AE513">
      <w:pPr>
        <w:numPr>
          <w:ilvl w:val="0"/>
          <w:numId w:val="3"/>
        </w:numPr>
        <w:rPr>
          <w:rFonts w:hint="eastAsia"/>
          <w:sz w:val="24"/>
        </w:rPr>
      </w:pPr>
      <w:r>
        <w:rPr>
          <w:rFonts w:hint="eastAsia"/>
          <w:sz w:val="24"/>
        </w:rPr>
        <w:t>质量保证：</w:t>
      </w:r>
    </w:p>
    <w:p w14:paraId="6EF40E35">
      <w:pPr>
        <w:numPr>
          <w:ilvl w:val="0"/>
          <w:numId w:val="0"/>
        </w:numPr>
        <w:rPr>
          <w:rFonts w:hint="eastAsia"/>
          <w:sz w:val="24"/>
        </w:rPr>
      </w:pPr>
      <w:r>
        <w:rPr>
          <w:rFonts w:hint="eastAsia"/>
          <w:sz w:val="24"/>
          <w:lang w:val="en-US" w:eastAsia="zh-CN"/>
        </w:rPr>
        <w:t>1、</w:t>
      </w:r>
      <w:r>
        <w:rPr>
          <w:rFonts w:hint="eastAsia"/>
          <w:sz w:val="24"/>
        </w:rPr>
        <w:t>产品执行《特种设备安全法》、TSGT7006-2012《电梯监督检验和定期              检验规则-杂物电梯》（含1、2、3号修改单）、GB25194-2010《杂物电梯制造与安装安全规范》等标准。</w:t>
      </w:r>
    </w:p>
    <w:p w14:paraId="19A2E90E">
      <w:pPr>
        <w:pStyle w:val="2"/>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2、全电脑微机控制</w:t>
      </w:r>
    </w:p>
    <w:p w14:paraId="04E4CA73">
      <w:pPr>
        <w:pStyle w:val="2"/>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采用微机控制系统全数字化操作，全面提升系统响应速度与可靠性，为电梯运行提供更平稳、安全的通道；先进的串行通讯技术，极大的减少了井道布线和随行电缆的数量，减少电梯的安装工作量，从而缩短安装工期。</w:t>
      </w:r>
    </w:p>
    <w:p w14:paraId="049014F6">
      <w:pPr>
        <w:pStyle w:val="2"/>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3、外呼操纵盘MO系列</w:t>
      </w:r>
    </w:p>
    <w:p w14:paraId="4DAD3A39">
      <w:pPr>
        <w:pStyle w:val="2"/>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面板采用304不锈钢1.2mm拉丝材质制作，按钮采用通力圆按钮，蓝光饰也是采用拉丝不锈钢，按钮可点击10万次，显示板采用最先进的蓝光液晶显示屏，屏幕特别清楚，而且故障代码，开门显示，检修显示等所有代码都会在这块显示屏中显示出来。</w:t>
      </w:r>
    </w:p>
    <w:p w14:paraId="55685F2F">
      <w:pPr>
        <w:pStyle w:val="2"/>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4、双安全钳</w:t>
      </w:r>
    </w:p>
    <w:p w14:paraId="7DCD02E8">
      <w:pPr>
        <w:pStyle w:val="2"/>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电梯运行保证安全至关重要。电梯运行安全，除了电气控制系统的正常保护外，还有安全部件的层层保障。安全部件主要有安全钳、限速器、缓冲器、门锁、轿厢上行超速保护装置，以及绳头组合等等。</w:t>
      </w:r>
    </w:p>
    <w:p w14:paraId="50C35014">
      <w:pPr>
        <w:pStyle w:val="2"/>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限速器在限速器动作触发下，能够使运行中的轿厢或对重制停在导轨上，并保持静止状态的机械安全装置。 </w:t>
      </w:r>
    </w:p>
    <w:p w14:paraId="787AE7BA">
      <w:pPr>
        <w:pStyle w:val="11"/>
        <w:numPr>
          <w:ilvl w:val="0"/>
          <w:numId w:val="0"/>
        </w:numPr>
        <w:rPr>
          <w:rFonts w:hint="default"/>
          <w:sz w:val="24"/>
          <w:lang w:val="en-US" w:eastAsia="zh-CN"/>
        </w:rPr>
      </w:pPr>
      <w:r>
        <w:rPr>
          <w:rFonts w:hint="eastAsia"/>
          <w:sz w:val="24"/>
          <w:lang w:val="en-US" w:eastAsia="zh-CN"/>
        </w:rPr>
        <w:t>5、主要参数</w:t>
      </w:r>
    </w:p>
    <w:p w14:paraId="7146E8B7">
      <w:pPr>
        <w:pStyle w:val="3"/>
        <w:numPr>
          <w:ilvl w:val="0"/>
          <w:numId w:val="4"/>
        </w:numPr>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载 重 量：100kg </w:t>
      </w:r>
    </w:p>
    <w:p w14:paraId="22403D1F">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2、层    站：2层2站2门</w:t>
      </w:r>
    </w:p>
    <w:p w14:paraId="5B20CBF9">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3、速    度：0.4m/s </w:t>
      </w:r>
    </w:p>
    <w:p w14:paraId="6225DACF">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4、数    量：1 台。</w:t>
      </w:r>
    </w:p>
    <w:p w14:paraId="3DF8D586">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5、控制形式：微机板控制。</w:t>
      </w:r>
    </w:p>
    <w:p w14:paraId="04F5480B">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6、轿厢内尺寸：宽500（mm）×深500(mm) ×高 800（mm）。</w:t>
      </w:r>
    </w:p>
    <w:p w14:paraId="0C711D1B">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7、轿厢开门宽度： 500（mm）；轿厢门口高度：800（mm）。</w:t>
      </w:r>
    </w:p>
    <w:p w14:paraId="574184AA">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8、厅门开门方式：上下垂直中分门。</w:t>
      </w:r>
    </w:p>
    <w:p w14:paraId="17B2363A">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9、轿厢入口形式：单通式                          </w:t>
      </w:r>
    </w:p>
    <w:p w14:paraId="101685DC">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10、电梯停靠层站：3F-4F；。</w:t>
      </w:r>
    </w:p>
    <w:p w14:paraId="75B336CA">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11、楼层高度： 3F :4.3（m）4F : 4.3（m）  </w:t>
      </w:r>
    </w:p>
    <w:p w14:paraId="2DCE9588">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12、机房形式：维修人员不可进去机房。 </w:t>
      </w:r>
    </w:p>
    <w:p w14:paraId="2B1AA233">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13、井道尺寸：宽 800(mm)×深 1000（mm）</w:t>
      </w:r>
    </w:p>
    <w:p w14:paraId="638C235B">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14、电梯井道下方不存在人员可进入的空间。</w:t>
      </w:r>
    </w:p>
    <w:p w14:paraId="7AEC1A17">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15、外呼召唤箱：不锈钢面板，液晶显示屏。          </w:t>
      </w:r>
    </w:p>
    <w:p w14:paraId="149AAF1D">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16、轿顶装饰： 发纹不锈钢</w:t>
      </w:r>
    </w:p>
    <w:p w14:paraId="6FBE6A4F">
      <w:pPr>
        <w:pStyle w:val="3"/>
        <w:ind w:left="0" w:leftChars="0" w:firstLine="0" w:firstLineChars="0"/>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17、轿壁装饰： 发纹不锈钢</w:t>
      </w:r>
    </w:p>
    <w:p w14:paraId="770E0A7D">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b/>
          <w:bCs/>
          <w:sz w:val="24"/>
          <w:szCs w:val="24"/>
        </w:rPr>
      </w:pPr>
      <w:r>
        <w:rPr>
          <w:rFonts w:hint="eastAsia"/>
          <w:sz w:val="24"/>
          <w:lang w:val="en-US" w:eastAsia="zh-CN"/>
        </w:rPr>
        <w:t>6、</w:t>
      </w:r>
      <w:r>
        <w:rPr>
          <w:rFonts w:hint="eastAsia" w:ascii="宋体" w:hAnsi="宋体" w:eastAsia="宋体" w:cs="宋体"/>
          <w:b/>
          <w:bCs/>
          <w:sz w:val="24"/>
          <w:szCs w:val="24"/>
        </w:rPr>
        <w:t>杂物电梯标准功能表</w:t>
      </w:r>
    </w:p>
    <w:tbl>
      <w:tblPr>
        <w:tblStyle w:val="7"/>
        <w:tblpPr w:leftFromText="180" w:rightFromText="180" w:vertAnchor="text" w:horzAnchor="page" w:tblpX="1657" w:tblpY="93"/>
        <w:tblOverlap w:val="never"/>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3857"/>
        <w:gridCol w:w="904"/>
        <w:gridCol w:w="3782"/>
      </w:tblGrid>
      <w:tr w14:paraId="536B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2FA869C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3857" w:type="dxa"/>
            <w:tcBorders>
              <w:top w:val="single" w:color="auto" w:sz="4" w:space="0"/>
              <w:left w:val="single" w:color="auto" w:sz="4" w:space="0"/>
              <w:bottom w:val="single" w:color="auto" w:sz="4" w:space="0"/>
              <w:right w:val="single" w:color="auto" w:sz="4" w:space="0"/>
            </w:tcBorders>
            <w:vAlign w:val="center"/>
          </w:tcPr>
          <w:p w14:paraId="77B67AE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功 能 名 称</w:t>
            </w:r>
          </w:p>
        </w:tc>
        <w:tc>
          <w:tcPr>
            <w:tcW w:w="904" w:type="dxa"/>
            <w:tcBorders>
              <w:top w:val="single" w:color="auto" w:sz="4" w:space="0"/>
              <w:left w:val="single" w:color="auto" w:sz="4" w:space="0"/>
              <w:bottom w:val="single" w:color="auto" w:sz="4" w:space="0"/>
              <w:right w:val="single" w:color="auto" w:sz="4" w:space="0"/>
            </w:tcBorders>
            <w:vAlign w:val="center"/>
          </w:tcPr>
          <w:p w14:paraId="4AF8829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3782" w:type="dxa"/>
            <w:tcBorders>
              <w:top w:val="single" w:color="auto" w:sz="4" w:space="0"/>
              <w:left w:val="single" w:color="auto" w:sz="4" w:space="0"/>
              <w:bottom w:val="single" w:color="auto" w:sz="4" w:space="0"/>
              <w:right w:val="single" w:color="auto" w:sz="4" w:space="0"/>
            </w:tcBorders>
            <w:vAlign w:val="center"/>
          </w:tcPr>
          <w:p w14:paraId="1E656B3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功 能 名 称</w:t>
            </w:r>
          </w:p>
        </w:tc>
      </w:tr>
      <w:tr w14:paraId="759F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61F7232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3857" w:type="dxa"/>
            <w:tcBorders>
              <w:top w:val="single" w:color="auto" w:sz="4" w:space="0"/>
              <w:left w:val="single" w:color="auto" w:sz="4" w:space="0"/>
              <w:bottom w:val="single" w:color="auto" w:sz="4" w:space="0"/>
              <w:right w:val="single" w:color="auto" w:sz="4" w:space="0"/>
            </w:tcBorders>
            <w:vAlign w:val="center"/>
          </w:tcPr>
          <w:p w14:paraId="5029950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全集选功能</w:t>
            </w:r>
          </w:p>
        </w:tc>
        <w:tc>
          <w:tcPr>
            <w:tcW w:w="904" w:type="dxa"/>
            <w:tcBorders>
              <w:top w:val="single" w:color="auto" w:sz="4" w:space="0"/>
              <w:left w:val="single" w:color="auto" w:sz="4" w:space="0"/>
              <w:bottom w:val="single" w:color="auto" w:sz="4" w:space="0"/>
              <w:right w:val="single" w:color="auto" w:sz="4" w:space="0"/>
            </w:tcBorders>
            <w:vAlign w:val="center"/>
          </w:tcPr>
          <w:p w14:paraId="1D12B8C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16</w:t>
            </w:r>
          </w:p>
        </w:tc>
        <w:tc>
          <w:tcPr>
            <w:tcW w:w="3782" w:type="dxa"/>
            <w:tcBorders>
              <w:top w:val="single" w:color="auto" w:sz="4" w:space="0"/>
              <w:left w:val="single" w:color="auto" w:sz="4" w:space="0"/>
              <w:bottom w:val="single" w:color="auto" w:sz="4" w:space="0"/>
              <w:right w:val="single" w:color="auto" w:sz="4" w:space="0"/>
            </w:tcBorders>
            <w:vAlign w:val="center"/>
          </w:tcPr>
          <w:p w14:paraId="51B1CA0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检修操纵运行功能</w:t>
            </w:r>
          </w:p>
        </w:tc>
      </w:tr>
      <w:tr w14:paraId="53B0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70D6D61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3857" w:type="dxa"/>
            <w:tcBorders>
              <w:top w:val="single" w:color="auto" w:sz="4" w:space="0"/>
              <w:left w:val="single" w:color="auto" w:sz="4" w:space="0"/>
              <w:bottom w:val="single" w:color="auto" w:sz="4" w:space="0"/>
              <w:right w:val="single" w:color="auto" w:sz="4" w:space="0"/>
            </w:tcBorders>
            <w:vAlign w:val="center"/>
          </w:tcPr>
          <w:p w14:paraId="1BDFA76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安全回路保护</w:t>
            </w:r>
          </w:p>
        </w:tc>
        <w:tc>
          <w:tcPr>
            <w:tcW w:w="904" w:type="dxa"/>
            <w:tcBorders>
              <w:top w:val="single" w:color="auto" w:sz="4" w:space="0"/>
              <w:left w:val="single" w:color="auto" w:sz="4" w:space="0"/>
              <w:bottom w:val="single" w:color="auto" w:sz="4" w:space="0"/>
              <w:right w:val="single" w:color="auto" w:sz="4" w:space="0"/>
            </w:tcBorders>
            <w:vAlign w:val="center"/>
          </w:tcPr>
          <w:p w14:paraId="4E3C53E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17</w:t>
            </w:r>
          </w:p>
        </w:tc>
        <w:tc>
          <w:tcPr>
            <w:tcW w:w="3782" w:type="dxa"/>
            <w:tcBorders>
              <w:top w:val="single" w:color="auto" w:sz="4" w:space="0"/>
              <w:left w:val="single" w:color="auto" w:sz="4" w:space="0"/>
              <w:bottom w:val="single" w:color="auto" w:sz="4" w:space="0"/>
              <w:right w:val="single" w:color="auto" w:sz="4" w:space="0"/>
            </w:tcBorders>
            <w:vAlign w:val="center"/>
          </w:tcPr>
          <w:p w14:paraId="06E2757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外呼蜂鸣器提醒</w:t>
            </w:r>
          </w:p>
        </w:tc>
      </w:tr>
      <w:tr w14:paraId="6ADD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155644F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3857" w:type="dxa"/>
            <w:tcBorders>
              <w:top w:val="single" w:color="auto" w:sz="4" w:space="0"/>
              <w:left w:val="single" w:color="auto" w:sz="4" w:space="0"/>
              <w:bottom w:val="single" w:color="auto" w:sz="4" w:space="0"/>
              <w:right w:val="single" w:color="auto" w:sz="4" w:space="0"/>
            </w:tcBorders>
            <w:vAlign w:val="center"/>
          </w:tcPr>
          <w:p w14:paraId="1F07B65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开门区保护</w:t>
            </w:r>
          </w:p>
        </w:tc>
        <w:tc>
          <w:tcPr>
            <w:tcW w:w="904" w:type="dxa"/>
            <w:tcBorders>
              <w:top w:val="single" w:color="auto" w:sz="4" w:space="0"/>
              <w:left w:val="single" w:color="auto" w:sz="4" w:space="0"/>
              <w:bottom w:val="single" w:color="auto" w:sz="4" w:space="0"/>
              <w:right w:val="single" w:color="auto" w:sz="4" w:space="0"/>
            </w:tcBorders>
            <w:vAlign w:val="center"/>
          </w:tcPr>
          <w:p w14:paraId="32EC5B7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18</w:t>
            </w:r>
          </w:p>
        </w:tc>
        <w:tc>
          <w:tcPr>
            <w:tcW w:w="3782" w:type="dxa"/>
            <w:tcBorders>
              <w:top w:val="single" w:color="auto" w:sz="4" w:space="0"/>
              <w:left w:val="single" w:color="auto" w:sz="4" w:space="0"/>
              <w:bottom w:val="single" w:color="auto" w:sz="4" w:space="0"/>
              <w:right w:val="single" w:color="auto" w:sz="4" w:space="0"/>
            </w:tcBorders>
            <w:vAlign w:val="center"/>
          </w:tcPr>
          <w:p w14:paraId="08FCFE4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层楼显示任意设置功能</w:t>
            </w:r>
          </w:p>
        </w:tc>
      </w:tr>
      <w:tr w14:paraId="7AA13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6DC00BF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3857" w:type="dxa"/>
            <w:tcBorders>
              <w:top w:val="single" w:color="auto" w:sz="4" w:space="0"/>
              <w:left w:val="single" w:color="auto" w:sz="4" w:space="0"/>
              <w:bottom w:val="single" w:color="auto" w:sz="4" w:space="0"/>
              <w:right w:val="single" w:color="auto" w:sz="4" w:space="0"/>
            </w:tcBorders>
            <w:vAlign w:val="center"/>
          </w:tcPr>
          <w:p w14:paraId="766BC98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锁梯服务</w:t>
            </w:r>
          </w:p>
        </w:tc>
        <w:tc>
          <w:tcPr>
            <w:tcW w:w="904" w:type="dxa"/>
            <w:tcBorders>
              <w:top w:val="single" w:color="auto" w:sz="4" w:space="0"/>
              <w:left w:val="single" w:color="auto" w:sz="4" w:space="0"/>
              <w:bottom w:val="single" w:color="auto" w:sz="4" w:space="0"/>
              <w:right w:val="single" w:color="auto" w:sz="4" w:space="0"/>
            </w:tcBorders>
            <w:vAlign w:val="center"/>
          </w:tcPr>
          <w:p w14:paraId="5DEA051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19</w:t>
            </w:r>
          </w:p>
        </w:tc>
        <w:tc>
          <w:tcPr>
            <w:tcW w:w="3782" w:type="dxa"/>
            <w:tcBorders>
              <w:top w:val="single" w:color="auto" w:sz="4" w:space="0"/>
              <w:left w:val="single" w:color="auto" w:sz="4" w:space="0"/>
              <w:bottom w:val="single" w:color="auto" w:sz="4" w:space="0"/>
              <w:right w:val="single" w:color="auto" w:sz="4" w:space="0"/>
            </w:tcBorders>
            <w:vAlign w:val="center"/>
          </w:tcPr>
          <w:p w14:paraId="662CCE9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下限位保护功能</w:t>
            </w:r>
          </w:p>
        </w:tc>
      </w:tr>
      <w:tr w14:paraId="42CF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11DDE72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3857" w:type="dxa"/>
            <w:tcBorders>
              <w:top w:val="single" w:color="auto" w:sz="4" w:space="0"/>
              <w:left w:val="single" w:color="auto" w:sz="4" w:space="0"/>
              <w:bottom w:val="single" w:color="auto" w:sz="4" w:space="0"/>
              <w:right w:val="single" w:color="auto" w:sz="4" w:space="0"/>
            </w:tcBorders>
            <w:vAlign w:val="center"/>
          </w:tcPr>
          <w:p w14:paraId="1993E6C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本层顺向外呼按钮开门</w:t>
            </w:r>
          </w:p>
        </w:tc>
        <w:tc>
          <w:tcPr>
            <w:tcW w:w="904" w:type="dxa"/>
            <w:tcBorders>
              <w:top w:val="single" w:color="auto" w:sz="4" w:space="0"/>
              <w:left w:val="single" w:color="auto" w:sz="4" w:space="0"/>
              <w:bottom w:val="single" w:color="auto" w:sz="4" w:space="0"/>
              <w:right w:val="single" w:color="auto" w:sz="4" w:space="0"/>
            </w:tcBorders>
            <w:vAlign w:val="center"/>
          </w:tcPr>
          <w:p w14:paraId="0358F97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20</w:t>
            </w:r>
          </w:p>
        </w:tc>
        <w:tc>
          <w:tcPr>
            <w:tcW w:w="3782" w:type="dxa"/>
            <w:tcBorders>
              <w:top w:val="single" w:color="auto" w:sz="4" w:space="0"/>
              <w:left w:val="single" w:color="auto" w:sz="4" w:space="0"/>
              <w:bottom w:val="single" w:color="auto" w:sz="4" w:space="0"/>
              <w:right w:val="single" w:color="auto" w:sz="4" w:space="0"/>
            </w:tcBorders>
            <w:vAlign w:val="center"/>
          </w:tcPr>
          <w:p w14:paraId="4F96DDD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门锁安全保护</w:t>
            </w:r>
          </w:p>
        </w:tc>
      </w:tr>
      <w:tr w14:paraId="04C2A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2AC3046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3857" w:type="dxa"/>
            <w:tcBorders>
              <w:top w:val="single" w:color="auto" w:sz="4" w:space="0"/>
              <w:left w:val="single" w:color="auto" w:sz="4" w:space="0"/>
              <w:bottom w:val="single" w:color="auto" w:sz="4" w:space="0"/>
              <w:right w:val="single" w:color="auto" w:sz="4" w:space="0"/>
            </w:tcBorders>
            <w:vAlign w:val="center"/>
          </w:tcPr>
          <w:p w14:paraId="68C7CF2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rPr>
              <w:t>自动平层功能</w:t>
            </w:r>
          </w:p>
        </w:tc>
        <w:tc>
          <w:tcPr>
            <w:tcW w:w="904" w:type="dxa"/>
            <w:tcBorders>
              <w:top w:val="single" w:color="auto" w:sz="4" w:space="0"/>
              <w:left w:val="single" w:color="auto" w:sz="4" w:space="0"/>
              <w:bottom w:val="single" w:color="auto" w:sz="4" w:space="0"/>
              <w:right w:val="single" w:color="auto" w:sz="4" w:space="0"/>
            </w:tcBorders>
            <w:vAlign w:val="center"/>
          </w:tcPr>
          <w:p w14:paraId="6724119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21</w:t>
            </w:r>
          </w:p>
        </w:tc>
        <w:tc>
          <w:tcPr>
            <w:tcW w:w="3782" w:type="dxa"/>
            <w:tcBorders>
              <w:top w:val="single" w:color="auto" w:sz="4" w:space="0"/>
              <w:left w:val="single" w:color="auto" w:sz="4" w:space="0"/>
              <w:bottom w:val="single" w:color="auto" w:sz="4" w:space="0"/>
              <w:right w:val="single" w:color="auto" w:sz="4" w:space="0"/>
            </w:tcBorders>
            <w:vAlign w:val="center"/>
          </w:tcPr>
          <w:p w14:paraId="09C8E0D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下极限保护功能</w:t>
            </w:r>
          </w:p>
        </w:tc>
      </w:tr>
      <w:tr w14:paraId="6D628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2D7D755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3857" w:type="dxa"/>
            <w:tcBorders>
              <w:top w:val="single" w:color="auto" w:sz="4" w:space="0"/>
              <w:left w:val="single" w:color="auto" w:sz="4" w:space="0"/>
              <w:bottom w:val="single" w:color="auto" w:sz="4" w:space="0"/>
              <w:right w:val="single" w:color="auto" w:sz="4" w:space="0"/>
            </w:tcBorders>
            <w:vAlign w:val="center"/>
          </w:tcPr>
          <w:p w14:paraId="6893491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上限位保护功能</w:t>
            </w:r>
          </w:p>
        </w:tc>
        <w:tc>
          <w:tcPr>
            <w:tcW w:w="904" w:type="dxa"/>
            <w:tcBorders>
              <w:top w:val="single" w:color="auto" w:sz="4" w:space="0"/>
              <w:left w:val="single" w:color="auto" w:sz="4" w:space="0"/>
              <w:bottom w:val="single" w:color="auto" w:sz="4" w:space="0"/>
              <w:right w:val="single" w:color="auto" w:sz="4" w:space="0"/>
            </w:tcBorders>
            <w:vAlign w:val="center"/>
          </w:tcPr>
          <w:p w14:paraId="7A1EF5B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22</w:t>
            </w:r>
          </w:p>
        </w:tc>
        <w:tc>
          <w:tcPr>
            <w:tcW w:w="3782" w:type="dxa"/>
            <w:tcBorders>
              <w:top w:val="single" w:color="auto" w:sz="4" w:space="0"/>
              <w:left w:val="single" w:color="auto" w:sz="4" w:space="0"/>
              <w:bottom w:val="single" w:color="auto" w:sz="4" w:space="0"/>
              <w:right w:val="single" w:color="auto" w:sz="4" w:space="0"/>
            </w:tcBorders>
            <w:vAlign w:val="center"/>
          </w:tcPr>
          <w:p w14:paraId="3BA5E91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供电电源断错相保护</w:t>
            </w:r>
          </w:p>
        </w:tc>
      </w:tr>
      <w:tr w14:paraId="2941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0D32793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3857" w:type="dxa"/>
            <w:tcBorders>
              <w:top w:val="single" w:color="auto" w:sz="4" w:space="0"/>
              <w:left w:val="single" w:color="auto" w:sz="4" w:space="0"/>
              <w:bottom w:val="single" w:color="auto" w:sz="4" w:space="0"/>
              <w:right w:val="single" w:color="auto" w:sz="4" w:space="0"/>
            </w:tcBorders>
            <w:vAlign w:val="center"/>
          </w:tcPr>
          <w:p w14:paraId="02F1033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上极限保护功能</w:t>
            </w:r>
          </w:p>
        </w:tc>
        <w:tc>
          <w:tcPr>
            <w:tcW w:w="904" w:type="dxa"/>
            <w:tcBorders>
              <w:top w:val="single" w:color="auto" w:sz="4" w:space="0"/>
              <w:left w:val="single" w:color="auto" w:sz="4" w:space="0"/>
              <w:bottom w:val="single" w:color="auto" w:sz="4" w:space="0"/>
              <w:right w:val="single" w:color="auto" w:sz="4" w:space="0"/>
            </w:tcBorders>
            <w:vAlign w:val="center"/>
          </w:tcPr>
          <w:p w14:paraId="65F6AA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23</w:t>
            </w:r>
          </w:p>
        </w:tc>
        <w:tc>
          <w:tcPr>
            <w:tcW w:w="3782" w:type="dxa"/>
            <w:tcBorders>
              <w:top w:val="single" w:color="auto" w:sz="4" w:space="0"/>
              <w:left w:val="single" w:color="auto" w:sz="4" w:space="0"/>
              <w:bottom w:val="single" w:color="auto" w:sz="4" w:space="0"/>
              <w:right w:val="single" w:color="auto" w:sz="4" w:space="0"/>
            </w:tcBorders>
            <w:vAlign w:val="center"/>
          </w:tcPr>
          <w:p w14:paraId="437CC29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接触器不释放保护</w:t>
            </w:r>
          </w:p>
        </w:tc>
      </w:tr>
      <w:tr w14:paraId="073C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4CB9DDD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3857" w:type="dxa"/>
            <w:tcBorders>
              <w:top w:val="single" w:color="auto" w:sz="4" w:space="0"/>
              <w:left w:val="single" w:color="auto" w:sz="4" w:space="0"/>
              <w:bottom w:val="single" w:color="auto" w:sz="4" w:space="0"/>
              <w:right w:val="single" w:color="auto" w:sz="4" w:space="0"/>
            </w:tcBorders>
            <w:vAlign w:val="center"/>
          </w:tcPr>
          <w:p w14:paraId="65EA762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直接停靠功能</w:t>
            </w:r>
          </w:p>
        </w:tc>
        <w:tc>
          <w:tcPr>
            <w:tcW w:w="904" w:type="dxa"/>
            <w:tcBorders>
              <w:top w:val="single" w:color="auto" w:sz="4" w:space="0"/>
              <w:left w:val="single" w:color="auto" w:sz="4" w:space="0"/>
              <w:bottom w:val="single" w:color="auto" w:sz="4" w:space="0"/>
              <w:right w:val="single" w:color="auto" w:sz="4" w:space="0"/>
            </w:tcBorders>
            <w:vAlign w:val="center"/>
          </w:tcPr>
          <w:p w14:paraId="25F880E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24</w:t>
            </w:r>
          </w:p>
        </w:tc>
        <w:tc>
          <w:tcPr>
            <w:tcW w:w="3782" w:type="dxa"/>
            <w:tcBorders>
              <w:top w:val="single" w:color="auto" w:sz="4" w:space="0"/>
              <w:left w:val="single" w:color="auto" w:sz="4" w:space="0"/>
              <w:bottom w:val="single" w:color="auto" w:sz="4" w:space="0"/>
              <w:right w:val="single" w:color="auto" w:sz="4" w:space="0"/>
            </w:tcBorders>
            <w:vAlign w:val="center"/>
          </w:tcPr>
          <w:p w14:paraId="73B2F35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缓冲器安全保护</w:t>
            </w:r>
          </w:p>
        </w:tc>
      </w:tr>
      <w:tr w14:paraId="6E2B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6ADD191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3857" w:type="dxa"/>
            <w:tcBorders>
              <w:top w:val="single" w:color="auto" w:sz="4" w:space="0"/>
              <w:left w:val="single" w:color="auto" w:sz="4" w:space="0"/>
              <w:bottom w:val="single" w:color="auto" w:sz="4" w:space="0"/>
              <w:right w:val="single" w:color="auto" w:sz="4" w:space="0"/>
            </w:tcBorders>
            <w:vAlign w:val="center"/>
          </w:tcPr>
          <w:p w14:paraId="4BA7AF7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到站</w:t>
            </w:r>
            <w:r>
              <w:rPr>
                <w:rFonts w:hint="eastAsia" w:ascii="宋体" w:hAnsi="宋体" w:eastAsia="宋体" w:cs="宋体"/>
                <w:color w:val="000000"/>
                <w:sz w:val="24"/>
                <w:szCs w:val="24"/>
                <w:lang w:eastAsia="zh-CN"/>
              </w:rPr>
              <w:t>钟</w:t>
            </w:r>
          </w:p>
        </w:tc>
        <w:tc>
          <w:tcPr>
            <w:tcW w:w="904" w:type="dxa"/>
            <w:tcBorders>
              <w:top w:val="single" w:color="auto" w:sz="4" w:space="0"/>
              <w:left w:val="single" w:color="auto" w:sz="4" w:space="0"/>
              <w:bottom w:val="single" w:color="auto" w:sz="4" w:space="0"/>
              <w:right w:val="single" w:color="auto" w:sz="4" w:space="0"/>
            </w:tcBorders>
            <w:vAlign w:val="center"/>
          </w:tcPr>
          <w:p w14:paraId="58928A4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25</w:t>
            </w:r>
          </w:p>
        </w:tc>
        <w:tc>
          <w:tcPr>
            <w:tcW w:w="3782" w:type="dxa"/>
            <w:tcBorders>
              <w:top w:val="single" w:color="auto" w:sz="4" w:space="0"/>
              <w:left w:val="single" w:color="auto" w:sz="4" w:space="0"/>
              <w:bottom w:val="single" w:color="auto" w:sz="4" w:space="0"/>
              <w:right w:val="single" w:color="auto" w:sz="4" w:space="0"/>
            </w:tcBorders>
            <w:vAlign w:val="center"/>
          </w:tcPr>
          <w:p w14:paraId="04CDE89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5秒没有离开平层保护</w:t>
            </w:r>
          </w:p>
        </w:tc>
      </w:tr>
      <w:tr w14:paraId="262F9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0788D89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3857" w:type="dxa"/>
            <w:tcBorders>
              <w:top w:val="single" w:color="auto" w:sz="4" w:space="0"/>
              <w:left w:val="single" w:color="auto" w:sz="4" w:space="0"/>
              <w:bottom w:val="single" w:color="auto" w:sz="4" w:space="0"/>
              <w:right w:val="single" w:color="auto" w:sz="4" w:space="0"/>
            </w:tcBorders>
            <w:vAlign w:val="center"/>
          </w:tcPr>
          <w:p w14:paraId="1EDDD7C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曳引机防堵转功能</w:t>
            </w:r>
          </w:p>
        </w:tc>
        <w:tc>
          <w:tcPr>
            <w:tcW w:w="904" w:type="dxa"/>
            <w:tcBorders>
              <w:top w:val="single" w:color="auto" w:sz="4" w:space="0"/>
              <w:left w:val="single" w:color="auto" w:sz="4" w:space="0"/>
              <w:bottom w:val="single" w:color="auto" w:sz="4" w:space="0"/>
              <w:right w:val="single" w:color="auto" w:sz="4" w:space="0"/>
            </w:tcBorders>
            <w:vAlign w:val="center"/>
          </w:tcPr>
          <w:p w14:paraId="5B0E5B3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26</w:t>
            </w:r>
          </w:p>
        </w:tc>
        <w:tc>
          <w:tcPr>
            <w:tcW w:w="3782" w:type="dxa"/>
            <w:tcBorders>
              <w:top w:val="single" w:color="auto" w:sz="4" w:space="0"/>
              <w:left w:val="single" w:color="auto" w:sz="4" w:space="0"/>
              <w:bottom w:val="single" w:color="auto" w:sz="4" w:space="0"/>
              <w:right w:val="single" w:color="auto" w:sz="4" w:space="0"/>
            </w:tcBorders>
            <w:vAlign w:val="center"/>
          </w:tcPr>
          <w:p w14:paraId="543F836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厅门开门保护</w:t>
            </w:r>
          </w:p>
        </w:tc>
      </w:tr>
      <w:tr w14:paraId="65A5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0511C2C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3857" w:type="dxa"/>
            <w:tcBorders>
              <w:top w:val="single" w:color="auto" w:sz="4" w:space="0"/>
              <w:left w:val="single" w:color="auto" w:sz="4" w:space="0"/>
              <w:bottom w:val="single" w:color="auto" w:sz="4" w:space="0"/>
              <w:right w:val="single" w:color="auto" w:sz="4" w:space="0"/>
            </w:tcBorders>
            <w:vAlign w:val="center"/>
          </w:tcPr>
          <w:p w14:paraId="12AD71DD">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运行中门锁断开安全保护功能</w:t>
            </w:r>
          </w:p>
        </w:tc>
        <w:tc>
          <w:tcPr>
            <w:tcW w:w="904" w:type="dxa"/>
            <w:tcBorders>
              <w:top w:val="single" w:color="auto" w:sz="4" w:space="0"/>
              <w:left w:val="single" w:color="auto" w:sz="4" w:space="0"/>
              <w:bottom w:val="single" w:color="auto" w:sz="4" w:space="0"/>
              <w:right w:val="single" w:color="auto" w:sz="4" w:space="0"/>
            </w:tcBorders>
            <w:vAlign w:val="center"/>
          </w:tcPr>
          <w:p w14:paraId="775B831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27</w:t>
            </w:r>
          </w:p>
        </w:tc>
        <w:tc>
          <w:tcPr>
            <w:tcW w:w="3782" w:type="dxa"/>
            <w:tcBorders>
              <w:top w:val="single" w:color="auto" w:sz="4" w:space="0"/>
              <w:left w:val="single" w:color="auto" w:sz="4" w:space="0"/>
              <w:bottom w:val="single" w:color="auto" w:sz="4" w:space="0"/>
              <w:right w:val="single" w:color="auto" w:sz="4" w:space="0"/>
            </w:tcBorders>
            <w:vAlign w:val="center"/>
          </w:tcPr>
          <w:p w14:paraId="49A5E70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机房检修门保护</w:t>
            </w:r>
          </w:p>
        </w:tc>
      </w:tr>
      <w:tr w14:paraId="25C9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2B1F2F1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3857" w:type="dxa"/>
            <w:tcBorders>
              <w:top w:val="single" w:color="auto" w:sz="4" w:space="0"/>
              <w:left w:val="single" w:color="auto" w:sz="4" w:space="0"/>
              <w:bottom w:val="single" w:color="auto" w:sz="4" w:space="0"/>
              <w:right w:val="single" w:color="auto" w:sz="4" w:space="0"/>
            </w:tcBorders>
            <w:vAlign w:val="center"/>
          </w:tcPr>
          <w:p w14:paraId="37E9BE6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轿门开门保护</w:t>
            </w:r>
          </w:p>
        </w:tc>
        <w:tc>
          <w:tcPr>
            <w:tcW w:w="904" w:type="dxa"/>
            <w:tcBorders>
              <w:top w:val="single" w:color="auto" w:sz="4" w:space="0"/>
              <w:left w:val="single" w:color="auto" w:sz="4" w:space="0"/>
              <w:bottom w:val="single" w:color="auto" w:sz="4" w:space="0"/>
              <w:right w:val="single" w:color="auto" w:sz="4" w:space="0"/>
            </w:tcBorders>
            <w:vAlign w:val="center"/>
          </w:tcPr>
          <w:p w14:paraId="34B692D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28</w:t>
            </w:r>
          </w:p>
        </w:tc>
        <w:tc>
          <w:tcPr>
            <w:tcW w:w="3782" w:type="dxa"/>
            <w:tcBorders>
              <w:top w:val="single" w:color="auto" w:sz="4" w:space="0"/>
              <w:left w:val="single" w:color="auto" w:sz="4" w:space="0"/>
              <w:bottom w:val="single" w:color="auto" w:sz="4" w:space="0"/>
              <w:right w:val="single" w:color="auto" w:sz="4" w:space="0"/>
            </w:tcBorders>
            <w:vAlign w:val="center"/>
          </w:tcPr>
          <w:p w14:paraId="186A804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防冲顶保护</w:t>
            </w:r>
          </w:p>
        </w:tc>
      </w:tr>
      <w:tr w14:paraId="221D8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56B08E7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3857" w:type="dxa"/>
            <w:tcBorders>
              <w:top w:val="single" w:color="auto" w:sz="4" w:space="0"/>
              <w:left w:val="single" w:color="auto" w:sz="4" w:space="0"/>
              <w:bottom w:val="single" w:color="auto" w:sz="4" w:space="0"/>
              <w:right w:val="single" w:color="auto" w:sz="4" w:space="0"/>
            </w:tcBorders>
            <w:vAlign w:val="center"/>
          </w:tcPr>
          <w:p w14:paraId="5EFBC5B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到站手动开门功能</w:t>
            </w:r>
          </w:p>
        </w:tc>
        <w:tc>
          <w:tcPr>
            <w:tcW w:w="904" w:type="dxa"/>
            <w:tcBorders>
              <w:top w:val="single" w:color="auto" w:sz="4" w:space="0"/>
              <w:left w:val="single" w:color="auto" w:sz="4" w:space="0"/>
              <w:bottom w:val="single" w:color="auto" w:sz="4" w:space="0"/>
              <w:right w:val="single" w:color="auto" w:sz="4" w:space="0"/>
            </w:tcBorders>
            <w:vAlign w:val="center"/>
          </w:tcPr>
          <w:p w14:paraId="5986BBE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29</w:t>
            </w:r>
          </w:p>
        </w:tc>
        <w:tc>
          <w:tcPr>
            <w:tcW w:w="3782" w:type="dxa"/>
            <w:tcBorders>
              <w:top w:val="single" w:color="auto" w:sz="4" w:space="0"/>
              <w:left w:val="single" w:color="auto" w:sz="4" w:space="0"/>
              <w:bottom w:val="single" w:color="auto" w:sz="4" w:space="0"/>
              <w:right w:val="single" w:color="auto" w:sz="4" w:space="0"/>
            </w:tcBorders>
            <w:vAlign w:val="center"/>
          </w:tcPr>
          <w:p w14:paraId="522626A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防冲底保护</w:t>
            </w:r>
          </w:p>
        </w:tc>
      </w:tr>
      <w:tr w14:paraId="042B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11" w:type="dxa"/>
            <w:tcBorders>
              <w:top w:val="single" w:color="auto" w:sz="4" w:space="0"/>
              <w:left w:val="single" w:color="auto" w:sz="4" w:space="0"/>
              <w:bottom w:val="single" w:color="auto" w:sz="4" w:space="0"/>
              <w:right w:val="single" w:color="auto" w:sz="4" w:space="0"/>
            </w:tcBorders>
            <w:vAlign w:val="center"/>
          </w:tcPr>
          <w:p w14:paraId="3ECA721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3857" w:type="dxa"/>
            <w:tcBorders>
              <w:top w:val="single" w:color="auto" w:sz="4" w:space="0"/>
              <w:left w:val="single" w:color="auto" w:sz="4" w:space="0"/>
              <w:bottom w:val="single" w:color="auto" w:sz="4" w:space="0"/>
              <w:right w:val="single" w:color="auto" w:sz="4" w:space="0"/>
            </w:tcBorders>
            <w:vAlign w:val="center"/>
          </w:tcPr>
          <w:p w14:paraId="196E2FF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关门故障自动保护</w:t>
            </w:r>
          </w:p>
        </w:tc>
        <w:tc>
          <w:tcPr>
            <w:tcW w:w="904" w:type="dxa"/>
            <w:tcBorders>
              <w:top w:val="single" w:color="auto" w:sz="4" w:space="0"/>
              <w:left w:val="single" w:color="auto" w:sz="4" w:space="0"/>
              <w:bottom w:val="single" w:color="auto" w:sz="4" w:space="0"/>
              <w:right w:val="single" w:color="auto" w:sz="4" w:space="0"/>
            </w:tcBorders>
            <w:vAlign w:val="center"/>
          </w:tcPr>
          <w:p w14:paraId="373BEB6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30</w:t>
            </w:r>
          </w:p>
        </w:tc>
        <w:tc>
          <w:tcPr>
            <w:tcW w:w="3782" w:type="dxa"/>
            <w:tcBorders>
              <w:top w:val="single" w:color="auto" w:sz="4" w:space="0"/>
              <w:left w:val="single" w:color="auto" w:sz="4" w:space="0"/>
              <w:bottom w:val="single" w:color="auto" w:sz="4" w:space="0"/>
              <w:right w:val="single" w:color="auto" w:sz="4" w:space="0"/>
            </w:tcBorders>
            <w:vAlign w:val="center"/>
          </w:tcPr>
          <w:p w14:paraId="6900657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超速保护</w:t>
            </w:r>
          </w:p>
        </w:tc>
      </w:tr>
    </w:tbl>
    <w:p w14:paraId="200B54A8">
      <w:pPr>
        <w:pStyle w:val="11"/>
        <w:numPr>
          <w:ilvl w:val="0"/>
          <w:numId w:val="0"/>
        </w:numPr>
        <w:rPr>
          <w:rFonts w:hint="default"/>
          <w:sz w:val="24"/>
          <w:lang w:val="en-US" w:eastAsia="zh-CN"/>
        </w:rPr>
      </w:pPr>
    </w:p>
    <w:p w14:paraId="734B0600">
      <w:pPr>
        <w:pStyle w:val="11"/>
        <w:numPr>
          <w:ilvl w:val="0"/>
          <w:numId w:val="0"/>
        </w:numPr>
        <w:rPr>
          <w:sz w:val="24"/>
          <w:szCs w:val="24"/>
        </w:rPr>
      </w:pPr>
      <w:r>
        <w:rPr>
          <w:rFonts w:hint="eastAsia"/>
          <w:sz w:val="24"/>
          <w:szCs w:val="24"/>
          <w:lang w:eastAsia="zh-CN"/>
        </w:rPr>
        <w:t>（</w:t>
      </w:r>
      <w:r>
        <w:rPr>
          <w:rFonts w:hint="eastAsia"/>
          <w:sz w:val="24"/>
          <w:szCs w:val="24"/>
          <w:lang w:val="en-US" w:eastAsia="zh-CN"/>
        </w:rPr>
        <w:t>六</w:t>
      </w:r>
      <w:r>
        <w:rPr>
          <w:rFonts w:hint="eastAsia"/>
          <w:sz w:val="24"/>
          <w:szCs w:val="24"/>
          <w:lang w:eastAsia="zh-CN"/>
        </w:rPr>
        <w:t>）</w:t>
      </w:r>
      <w:r>
        <w:rPr>
          <w:rFonts w:hint="eastAsia"/>
          <w:sz w:val="24"/>
          <w:szCs w:val="24"/>
        </w:rPr>
        <w:t>商务要求：</w:t>
      </w:r>
    </w:p>
    <w:p w14:paraId="414B85C9">
      <w:pPr>
        <w:rPr>
          <w:sz w:val="24"/>
          <w:szCs w:val="24"/>
        </w:rPr>
      </w:pPr>
      <w:r>
        <w:rPr>
          <w:rFonts w:hint="eastAsia" w:eastAsia="宋体"/>
          <w:sz w:val="24"/>
          <w:szCs w:val="24"/>
          <w:lang w:val="en-US" w:eastAsia="zh-CN"/>
        </w:rPr>
        <w:t>1</w:t>
      </w:r>
      <w:r>
        <w:rPr>
          <w:rFonts w:hint="eastAsia" w:ascii="宋体" w:hAnsi="宋体" w:eastAsia="宋体"/>
          <w:sz w:val="24"/>
          <w:szCs w:val="24"/>
        </w:rPr>
        <w:t>、</w:t>
      </w:r>
      <w:r>
        <w:rPr>
          <w:rFonts w:hint="eastAsia"/>
          <w:sz w:val="24"/>
          <w:szCs w:val="24"/>
        </w:rPr>
        <w:t>交货地点：</w:t>
      </w:r>
      <w:r>
        <w:rPr>
          <w:color w:val="FF0000"/>
          <w:sz w:val="24"/>
          <w:szCs w:val="24"/>
        </w:rPr>
        <w:t>南方医科大学</w:t>
      </w:r>
      <w:r>
        <w:rPr>
          <w:rFonts w:hint="eastAsia"/>
          <w:color w:val="FF0000"/>
          <w:sz w:val="24"/>
          <w:szCs w:val="24"/>
        </w:rPr>
        <w:t>中西医结合</w:t>
      </w:r>
      <w:r>
        <w:rPr>
          <w:color w:val="FF0000"/>
          <w:sz w:val="24"/>
          <w:szCs w:val="24"/>
        </w:rPr>
        <w:t>医院</w:t>
      </w:r>
      <w:r>
        <w:rPr>
          <w:rFonts w:hint="eastAsia"/>
          <w:color w:val="FF0000"/>
          <w:sz w:val="24"/>
          <w:szCs w:val="24"/>
        </w:rPr>
        <w:t>1</w:t>
      </w:r>
      <w:r>
        <w:rPr>
          <w:rFonts w:hint="eastAsia"/>
          <w:color w:val="FF0000"/>
          <w:sz w:val="24"/>
          <w:szCs w:val="24"/>
          <w:lang w:val="en-US" w:eastAsia="zh-CN"/>
        </w:rPr>
        <w:t>2</w:t>
      </w:r>
      <w:r>
        <w:rPr>
          <w:rFonts w:hint="eastAsia"/>
          <w:color w:val="FF0000"/>
          <w:sz w:val="24"/>
          <w:szCs w:val="24"/>
        </w:rPr>
        <w:t>号楼</w:t>
      </w:r>
    </w:p>
    <w:p w14:paraId="3A86AE50">
      <w:pPr>
        <w:rPr>
          <w:sz w:val="24"/>
          <w:szCs w:val="24"/>
        </w:rPr>
      </w:pPr>
      <w:r>
        <w:rPr>
          <w:rFonts w:hint="eastAsia" w:eastAsia="宋体"/>
          <w:sz w:val="24"/>
          <w:szCs w:val="24"/>
          <w:lang w:val="en-US" w:eastAsia="zh-CN"/>
        </w:rPr>
        <w:t>2</w:t>
      </w:r>
      <w:r>
        <w:rPr>
          <w:rFonts w:hint="eastAsia" w:ascii="宋体" w:hAnsi="宋体" w:eastAsia="宋体"/>
          <w:sz w:val="24"/>
          <w:szCs w:val="24"/>
        </w:rPr>
        <w:t>、</w:t>
      </w:r>
      <w:r>
        <w:rPr>
          <w:rFonts w:hint="eastAsia"/>
          <w:sz w:val="24"/>
          <w:szCs w:val="24"/>
        </w:rPr>
        <w:t>售后服务：</w:t>
      </w:r>
    </w:p>
    <w:p w14:paraId="4F6B60E6">
      <w:pPr>
        <w:rPr>
          <w:sz w:val="24"/>
          <w:szCs w:val="24"/>
        </w:rPr>
      </w:pPr>
      <w:r>
        <w:rPr>
          <w:rFonts w:hint="eastAsia"/>
          <w:color w:val="000000"/>
          <w:sz w:val="24"/>
          <w:szCs w:val="24"/>
        </w:rPr>
        <w:t>（1）</w:t>
      </w:r>
      <w:r>
        <w:rPr>
          <w:color w:val="000000"/>
          <w:sz w:val="24"/>
          <w:szCs w:val="24"/>
        </w:rPr>
        <w:t>产品</w:t>
      </w:r>
      <w:r>
        <w:rPr>
          <w:rFonts w:hint="eastAsia"/>
          <w:color w:val="000000"/>
          <w:sz w:val="24"/>
          <w:szCs w:val="24"/>
          <w:lang w:val="en-US" w:eastAsia="zh-CN"/>
        </w:rPr>
        <w:t>经政府主管部门</w:t>
      </w:r>
      <w:r>
        <w:rPr>
          <w:color w:val="000000"/>
          <w:sz w:val="24"/>
          <w:szCs w:val="24"/>
        </w:rPr>
        <w:t>验收合格之日起，成交供应商须提供各产品在其质保期内质保服务，所配送的产品保质期按生产厂家的标准执行，但不得少于1年，费用包含在本项目报价内。</w:t>
      </w:r>
    </w:p>
    <w:p w14:paraId="6695B437">
      <w:pPr>
        <w:rPr>
          <w:sz w:val="24"/>
          <w:szCs w:val="24"/>
        </w:rPr>
      </w:pPr>
      <w:r>
        <w:rPr>
          <w:rFonts w:hint="eastAsia"/>
          <w:color w:val="000000"/>
          <w:sz w:val="24"/>
          <w:szCs w:val="24"/>
        </w:rPr>
        <w:t>（2）</w:t>
      </w:r>
      <w:r>
        <w:rPr>
          <w:color w:val="000000"/>
          <w:sz w:val="24"/>
          <w:szCs w:val="24"/>
        </w:rPr>
        <w:t>在质量保质期内，如产品非因采购人的人为原因而出现质量问题，成交供应商承诺全额包换或退换（3个工作日内完成）、包正常使用，费用包含在本项目报价内。如确属采购人的人为原因损坏，亦须无条件更换或维修，并确保正常使用，但采购人应给予合理费用补偿成交供应商的成本。</w:t>
      </w:r>
    </w:p>
    <w:p w14:paraId="35A00C6E">
      <w:pPr>
        <w:rPr>
          <w:sz w:val="24"/>
          <w:szCs w:val="24"/>
        </w:rPr>
      </w:pPr>
      <w:r>
        <w:rPr>
          <w:rFonts w:hint="eastAsia"/>
          <w:color w:val="000000"/>
          <w:sz w:val="24"/>
          <w:szCs w:val="24"/>
        </w:rPr>
        <w:t>（3）</w:t>
      </w:r>
      <w:r>
        <w:rPr>
          <w:color w:val="000000"/>
          <w:sz w:val="24"/>
          <w:szCs w:val="24"/>
        </w:rPr>
        <w:t>在供货服务期内，如出现采购人的需求科室对供货、服务等投诉问题，经调查属实，将追究成交供应商的责任。</w:t>
      </w:r>
    </w:p>
    <w:p w14:paraId="1C914325">
      <w:pPr>
        <w:rPr>
          <w:color w:val="000000"/>
          <w:sz w:val="24"/>
          <w:szCs w:val="24"/>
        </w:rPr>
      </w:pPr>
      <w:r>
        <w:rPr>
          <w:rFonts w:hint="eastAsia"/>
          <w:color w:val="000000"/>
          <w:sz w:val="24"/>
          <w:szCs w:val="24"/>
        </w:rPr>
        <w:t>（4）支付方式：</w:t>
      </w:r>
      <w:r>
        <w:rPr>
          <w:rFonts w:hint="eastAsia"/>
          <w:color w:val="000000"/>
          <w:sz w:val="24"/>
          <w:szCs w:val="24"/>
          <w:lang w:val="en-US" w:eastAsia="zh-CN"/>
        </w:rPr>
        <w:t>详见合同</w:t>
      </w:r>
      <w:r>
        <w:rPr>
          <w:rFonts w:hint="eastAsia"/>
          <w:color w:val="000000"/>
          <w:sz w:val="24"/>
          <w:szCs w:val="24"/>
        </w:rPr>
        <w:t>。</w:t>
      </w:r>
    </w:p>
    <w:p w14:paraId="1CBA5F6D">
      <w:pPr>
        <w:numPr>
          <w:ilvl w:val="0"/>
          <w:numId w:val="0"/>
        </w:numPr>
        <w:rPr>
          <w:sz w:val="24"/>
          <w:szCs w:val="24"/>
        </w:rPr>
      </w:pPr>
      <w:r>
        <w:rPr>
          <w:rFonts w:hint="eastAsia"/>
          <w:sz w:val="24"/>
          <w:szCs w:val="24"/>
          <w:lang w:val="en-US" w:eastAsia="zh-CN"/>
        </w:rPr>
        <w:t>3、</w:t>
      </w:r>
      <w:r>
        <w:rPr>
          <w:rFonts w:hint="eastAsia"/>
          <w:sz w:val="24"/>
          <w:szCs w:val="24"/>
        </w:rPr>
        <w:t>其他要求：</w:t>
      </w:r>
    </w:p>
    <w:p w14:paraId="75BC0C50">
      <w:pPr>
        <w:rPr>
          <w:sz w:val="24"/>
          <w:szCs w:val="24"/>
        </w:rPr>
      </w:pPr>
      <w:r>
        <w:rPr>
          <w:rFonts w:hint="eastAsia"/>
          <w:sz w:val="24"/>
          <w:szCs w:val="24"/>
        </w:rPr>
        <w:t>1.所购入的货物必须是全新（原装）正品，表面无划伤，无碰撞，其技术规格、标准必须符合甲方需求和国家有关标准。</w:t>
      </w:r>
    </w:p>
    <w:p w14:paraId="4C53533D">
      <w:pPr>
        <w:rPr>
          <w:sz w:val="24"/>
          <w:szCs w:val="24"/>
        </w:rPr>
      </w:pPr>
      <w:r>
        <w:rPr>
          <w:rFonts w:hint="eastAsia"/>
          <w:sz w:val="24"/>
          <w:szCs w:val="24"/>
        </w:rPr>
        <w:t>2.所供商品必须符合国家行业生产及经营标准，货真价实，均能提供相应批次的合格检验证明。</w:t>
      </w:r>
    </w:p>
    <w:p w14:paraId="7DCEB3F0">
      <w:pPr>
        <w:rPr>
          <w:rFonts w:hint="eastAsia"/>
          <w:sz w:val="24"/>
          <w:szCs w:val="24"/>
        </w:rPr>
      </w:pPr>
      <w:r>
        <w:rPr>
          <w:rFonts w:hint="eastAsia"/>
          <w:sz w:val="24"/>
          <w:szCs w:val="24"/>
        </w:rPr>
        <w:t>3.投标货物必须各项技术指标完全符合国家有关标准及产品出厂标准。</w:t>
      </w:r>
    </w:p>
    <w:p w14:paraId="7DD9EE5A">
      <w:pPr>
        <w:ind w:left="420"/>
        <w:rPr>
          <w:sz w:val="24"/>
        </w:rPr>
      </w:pPr>
    </w:p>
    <w:p w14:paraId="08D6607F">
      <w:pPr>
        <w:rPr>
          <w:sz w:val="24"/>
        </w:rPr>
      </w:pPr>
      <w:r>
        <w:rPr>
          <w:rFonts w:hint="eastAsia"/>
          <w:sz w:val="24"/>
        </w:rPr>
        <w:t>四、合同模板：</w:t>
      </w:r>
      <w:r>
        <w:rPr>
          <w:sz w:val="24"/>
        </w:rPr>
        <w:t xml:space="preserve"> </w:t>
      </w:r>
    </w:p>
    <w:p w14:paraId="23409672">
      <w:pPr>
        <w:rPr>
          <w:sz w:val="24"/>
        </w:rPr>
      </w:pPr>
      <w:r>
        <w:rPr>
          <w:rFonts w:hint="eastAsia"/>
          <w:sz w:val="24"/>
        </w:rPr>
        <w:t>甲方（</w:t>
      </w:r>
      <w:bookmarkStart w:id="0" w:name="OLE_LINK26"/>
      <w:bookmarkStart w:id="1" w:name="OLE_LINK27"/>
      <w:r>
        <w:rPr>
          <w:rFonts w:hint="eastAsia"/>
          <w:sz w:val="24"/>
        </w:rPr>
        <w:t>采购人</w:t>
      </w:r>
      <w:bookmarkEnd w:id="0"/>
      <w:bookmarkEnd w:id="1"/>
      <w:r>
        <w:rPr>
          <w:rFonts w:hint="eastAsia"/>
          <w:sz w:val="24"/>
        </w:rPr>
        <w:t>）：南方医科大学中西医结合医院</w:t>
      </w:r>
    </w:p>
    <w:p w14:paraId="7FD850A0">
      <w:pPr>
        <w:rPr>
          <w:sz w:val="24"/>
        </w:rPr>
      </w:pPr>
      <w:r>
        <w:rPr>
          <w:rFonts w:hint="eastAsia"/>
          <w:sz w:val="24"/>
        </w:rPr>
        <w:t>地址：广州市海珠区石榴岗路13号大院</w:t>
      </w:r>
    </w:p>
    <w:p w14:paraId="289A19B0">
      <w:pPr>
        <w:rPr>
          <w:sz w:val="24"/>
        </w:rPr>
      </w:pPr>
      <w:r>
        <w:rPr>
          <w:rFonts w:hint="eastAsia"/>
          <w:sz w:val="24"/>
        </w:rPr>
        <w:t>法人代表：</w:t>
      </w:r>
    </w:p>
    <w:p w14:paraId="3AD84FAD">
      <w:pPr>
        <w:rPr>
          <w:sz w:val="24"/>
        </w:rPr>
      </w:pPr>
      <w:r>
        <w:rPr>
          <w:rFonts w:hint="eastAsia"/>
          <w:sz w:val="24"/>
        </w:rPr>
        <w:t>电话：</w:t>
      </w:r>
    </w:p>
    <w:p w14:paraId="1775786A">
      <w:pPr>
        <w:rPr>
          <w:sz w:val="24"/>
        </w:rPr>
      </w:pPr>
      <w:r>
        <w:rPr>
          <w:rFonts w:hint="eastAsia"/>
          <w:sz w:val="24"/>
        </w:rPr>
        <w:t>乙方（中选人）：</w:t>
      </w:r>
      <w:r>
        <w:rPr>
          <w:sz w:val="24"/>
        </w:rPr>
        <w:t xml:space="preserve"> </w:t>
      </w:r>
    </w:p>
    <w:p w14:paraId="109948D0">
      <w:pPr>
        <w:rPr>
          <w:sz w:val="24"/>
        </w:rPr>
      </w:pPr>
      <w:r>
        <w:rPr>
          <w:rFonts w:hint="eastAsia"/>
          <w:sz w:val="24"/>
        </w:rPr>
        <w:t>地址：</w:t>
      </w:r>
      <w:r>
        <w:rPr>
          <w:sz w:val="24"/>
        </w:rPr>
        <w:t xml:space="preserve"> </w:t>
      </w:r>
    </w:p>
    <w:p w14:paraId="638AFFEB">
      <w:pPr>
        <w:rPr>
          <w:sz w:val="24"/>
        </w:rPr>
      </w:pPr>
      <w:r>
        <w:rPr>
          <w:rFonts w:hint="eastAsia"/>
          <w:sz w:val="24"/>
        </w:rPr>
        <w:t>法人代表：</w:t>
      </w:r>
      <w:r>
        <w:rPr>
          <w:sz w:val="24"/>
        </w:rPr>
        <w:t xml:space="preserve"> </w:t>
      </w:r>
    </w:p>
    <w:p w14:paraId="6688C897">
      <w:pPr>
        <w:rPr>
          <w:sz w:val="24"/>
        </w:rPr>
      </w:pPr>
      <w:r>
        <w:rPr>
          <w:rFonts w:hint="eastAsia"/>
          <w:sz w:val="24"/>
        </w:rPr>
        <w:t>电话：</w:t>
      </w:r>
    </w:p>
    <w:p w14:paraId="28842A1D">
      <w:pPr>
        <w:rPr>
          <w:sz w:val="24"/>
        </w:rPr>
      </w:pPr>
      <w:r>
        <w:rPr>
          <w:rFonts w:hint="eastAsia"/>
          <w:sz w:val="24"/>
        </w:rPr>
        <w:t>一、合同标的</w:t>
      </w:r>
      <w:r>
        <w:rPr>
          <w:sz w:val="24"/>
        </w:rPr>
        <w:t xml:space="preserve"> </w:t>
      </w:r>
    </w:p>
    <w:p w14:paraId="71506B88">
      <w:pPr>
        <w:rPr>
          <w:sz w:val="24"/>
        </w:rPr>
      </w:pPr>
      <w:r>
        <w:rPr>
          <w:rFonts w:hint="eastAsia"/>
          <w:sz w:val="24"/>
        </w:rPr>
        <w:t>乙方按照本合同约定及用户需求，为甲方</w:t>
      </w:r>
      <w:r>
        <w:rPr>
          <w:rFonts w:hint="eastAsia"/>
          <w:sz w:val="24"/>
          <w:lang w:val="en-US" w:eastAsia="zh-CN"/>
        </w:rPr>
        <w:t>12号楼输血科采购安装1台杂物电梯</w:t>
      </w:r>
      <w:r>
        <w:rPr>
          <w:rFonts w:hint="eastAsia"/>
          <w:sz w:val="24"/>
        </w:rPr>
        <w:t>，包括设备供应、运输、安装、调试、质保</w:t>
      </w:r>
      <w:r>
        <w:rPr>
          <w:rFonts w:hint="eastAsia"/>
          <w:sz w:val="24"/>
          <w:lang w:val="en-US" w:eastAsia="zh-CN"/>
        </w:rPr>
        <w:t>及井道改造及装饰</w:t>
      </w:r>
      <w:r>
        <w:rPr>
          <w:rFonts w:hint="eastAsia"/>
          <w:sz w:val="24"/>
        </w:rPr>
        <w:t>等工作，确保</w:t>
      </w:r>
      <w:r>
        <w:rPr>
          <w:rFonts w:hint="eastAsia"/>
          <w:sz w:val="24"/>
          <w:lang w:val="en-US" w:eastAsia="zh-CN"/>
        </w:rPr>
        <w:t>杂物电梯符合相关验收</w:t>
      </w:r>
      <w:r>
        <w:rPr>
          <w:rFonts w:hint="eastAsia"/>
          <w:sz w:val="24"/>
        </w:rPr>
        <w:t>要求。</w:t>
      </w:r>
      <w:r>
        <w:rPr>
          <w:sz w:val="24"/>
        </w:rPr>
        <w:t xml:space="preserve"> </w:t>
      </w:r>
    </w:p>
    <w:p w14:paraId="353A27CF">
      <w:pPr>
        <w:rPr>
          <w:sz w:val="24"/>
        </w:rPr>
      </w:pPr>
      <w:r>
        <w:rPr>
          <w:rFonts w:hint="eastAsia"/>
          <w:sz w:val="24"/>
        </w:rPr>
        <w:t>二、合同价款及支付方式</w:t>
      </w:r>
      <w:r>
        <w:rPr>
          <w:sz w:val="24"/>
        </w:rPr>
        <w:t xml:space="preserve"> </w:t>
      </w:r>
    </w:p>
    <w:p w14:paraId="1315FD27">
      <w:pPr>
        <w:rPr>
          <w:sz w:val="24"/>
        </w:rPr>
      </w:pPr>
      <w:bookmarkStart w:id="2" w:name="OLE_LINK2"/>
      <w:bookmarkStart w:id="3" w:name="OLE_LINK3"/>
      <w:r>
        <w:rPr>
          <w:rFonts w:hint="eastAsia"/>
          <w:sz w:val="24"/>
        </w:rPr>
        <w:t>（一）</w:t>
      </w:r>
      <w:bookmarkEnd w:id="2"/>
      <w:bookmarkEnd w:id="3"/>
      <w:r>
        <w:rPr>
          <w:rFonts w:hint="eastAsia"/>
          <w:sz w:val="24"/>
        </w:rPr>
        <w:t>本合同总价款为人民币X</w:t>
      </w:r>
      <w:r>
        <w:rPr>
          <w:sz w:val="24"/>
        </w:rPr>
        <w:t>XXX</w:t>
      </w:r>
      <w:r>
        <w:rPr>
          <w:rFonts w:hint="eastAsia"/>
          <w:sz w:val="24"/>
        </w:rPr>
        <w:t>元整(大写：X</w:t>
      </w:r>
      <w:r>
        <w:rPr>
          <w:sz w:val="24"/>
        </w:rPr>
        <w:t>XXX)</w:t>
      </w:r>
      <w:r>
        <w:rPr>
          <w:rFonts w:hint="eastAsia"/>
          <w:sz w:val="24"/>
        </w:rPr>
        <w:t>。</w:t>
      </w:r>
      <w:r>
        <w:rPr>
          <w:sz w:val="24"/>
        </w:rPr>
        <w:t xml:space="preserve"> </w:t>
      </w:r>
    </w:p>
    <w:p w14:paraId="48A1E4D4">
      <w:pPr>
        <w:rPr>
          <w:rFonts w:hint="eastAsia"/>
          <w:sz w:val="24"/>
        </w:rPr>
      </w:pPr>
      <w:r>
        <w:rPr>
          <w:rFonts w:hint="eastAsia"/>
          <w:sz w:val="24"/>
        </w:rPr>
        <w:t>（二）付款方式：</w:t>
      </w:r>
      <w:bookmarkStart w:id="4" w:name="OLE_LINK5"/>
      <w:bookmarkStart w:id="5" w:name="OLE_LINK8"/>
    </w:p>
    <w:p w14:paraId="2D0B517A">
      <w:pPr>
        <w:ind w:firstLine="240" w:firstLineChars="100"/>
        <w:rPr>
          <w:rFonts w:hint="eastAsia"/>
          <w:sz w:val="24"/>
        </w:rPr>
      </w:pPr>
      <w:r>
        <w:rPr>
          <w:rFonts w:hint="eastAsia"/>
          <w:sz w:val="24"/>
        </w:rPr>
        <w:t>1．签订合同三天内</w:t>
      </w:r>
      <w:r>
        <w:rPr>
          <w:rFonts w:hint="eastAsia"/>
          <w:sz w:val="24"/>
          <w:lang w:val="en-US" w:eastAsia="zh-CN"/>
        </w:rPr>
        <w:t>甲</w:t>
      </w:r>
      <w:r>
        <w:rPr>
          <w:rFonts w:hint="eastAsia"/>
          <w:sz w:val="24"/>
        </w:rPr>
        <w:t>方支付合同总价的30%作为排产款。</w:t>
      </w:r>
    </w:p>
    <w:p w14:paraId="4A51B201">
      <w:pPr>
        <w:ind w:firstLine="240" w:firstLineChars="100"/>
        <w:rPr>
          <w:rFonts w:hint="eastAsia"/>
          <w:sz w:val="24"/>
        </w:rPr>
      </w:pPr>
      <w:r>
        <w:rPr>
          <w:rFonts w:hint="eastAsia"/>
          <w:sz w:val="24"/>
        </w:rPr>
        <w:t>2.电梯设备出厂前，支付合同总价的</w:t>
      </w:r>
      <w:r>
        <w:rPr>
          <w:rFonts w:hint="eastAsia"/>
          <w:sz w:val="24"/>
          <w:lang w:val="en-US" w:eastAsia="zh-CN"/>
        </w:rPr>
        <w:t>6</w:t>
      </w:r>
      <w:r>
        <w:rPr>
          <w:rFonts w:hint="eastAsia"/>
          <w:sz w:val="24"/>
        </w:rPr>
        <w:t>0%作为</w:t>
      </w:r>
      <w:r>
        <w:rPr>
          <w:rFonts w:hint="eastAsia"/>
          <w:sz w:val="24"/>
          <w:lang w:val="en-US" w:eastAsia="zh-CN"/>
        </w:rPr>
        <w:t>提</w:t>
      </w:r>
      <w:r>
        <w:rPr>
          <w:rFonts w:hint="eastAsia"/>
          <w:sz w:val="24"/>
        </w:rPr>
        <w:t>货款。</w:t>
      </w:r>
    </w:p>
    <w:p w14:paraId="4D9D898C">
      <w:pPr>
        <w:ind w:firstLine="240" w:firstLineChars="100"/>
        <w:rPr>
          <w:sz w:val="24"/>
        </w:rPr>
      </w:pPr>
      <w:r>
        <w:rPr>
          <w:rFonts w:hint="eastAsia"/>
          <w:sz w:val="24"/>
        </w:rPr>
        <w:t>3.电梯安装完毕经双方验收合格</w:t>
      </w:r>
      <w:r>
        <w:rPr>
          <w:rFonts w:hint="eastAsia"/>
          <w:sz w:val="24"/>
          <w:lang w:eastAsia="zh-CN"/>
        </w:rPr>
        <w:t>、</w:t>
      </w:r>
      <w:r>
        <w:rPr>
          <w:rFonts w:hint="eastAsia"/>
          <w:sz w:val="24"/>
          <w:lang w:val="en-US" w:eastAsia="zh-CN"/>
        </w:rPr>
        <w:t>乙方办理电梯特种设备许可证及所有证件后，甲方</w:t>
      </w:r>
      <w:r>
        <w:rPr>
          <w:rFonts w:hint="eastAsia"/>
          <w:sz w:val="24"/>
        </w:rPr>
        <w:t>支付合同总价的</w:t>
      </w:r>
      <w:r>
        <w:rPr>
          <w:rFonts w:hint="eastAsia"/>
          <w:sz w:val="24"/>
          <w:lang w:val="en-US" w:eastAsia="zh-CN"/>
        </w:rPr>
        <w:t>1</w:t>
      </w:r>
      <w:r>
        <w:rPr>
          <w:rFonts w:hint="eastAsia"/>
          <w:sz w:val="24"/>
        </w:rPr>
        <w:t>0%余款。</w:t>
      </w:r>
      <w:bookmarkEnd w:id="4"/>
      <w:bookmarkEnd w:id="5"/>
    </w:p>
    <w:p w14:paraId="2FB2AB88">
      <w:pPr>
        <w:rPr>
          <w:sz w:val="24"/>
        </w:rPr>
      </w:pPr>
      <w:r>
        <w:rPr>
          <w:rFonts w:hint="eastAsia"/>
          <w:sz w:val="24"/>
        </w:rPr>
        <w:t>（三）</w:t>
      </w:r>
      <w:r>
        <w:rPr>
          <w:sz w:val="24"/>
        </w:rPr>
        <w:t>履约保证金</w:t>
      </w:r>
      <w:r>
        <w:rPr>
          <w:rFonts w:hint="eastAsia"/>
          <w:sz w:val="24"/>
        </w:rPr>
        <w:t>：</w:t>
      </w:r>
      <w:r>
        <w:rPr>
          <w:sz w:val="24"/>
        </w:rPr>
        <w:t>乙方应在合同签订后5个工作日内，向甲方缴纳合同总价款5%（即人民币XXX元</w:t>
      </w:r>
      <w:r>
        <w:rPr>
          <w:rFonts w:hint="eastAsia"/>
          <w:sz w:val="24"/>
        </w:rPr>
        <w:t>，大写：X</w:t>
      </w:r>
      <w:r>
        <w:rPr>
          <w:sz w:val="24"/>
        </w:rPr>
        <w:t>XX元整）作为履约保证金</w:t>
      </w:r>
      <w:r>
        <w:rPr>
          <w:rFonts w:hint="eastAsia"/>
          <w:sz w:val="24"/>
          <w:lang w:eastAsia="zh-CN"/>
        </w:rPr>
        <w:t>。</w:t>
      </w:r>
      <w:r>
        <w:rPr>
          <w:sz w:val="24"/>
        </w:rPr>
        <w:t>若乙方完全履行本合同义务，</w:t>
      </w:r>
      <w:r>
        <w:rPr>
          <w:rFonts w:hint="eastAsia"/>
          <w:sz w:val="24"/>
          <w:lang w:val="en-US" w:eastAsia="zh-CN"/>
        </w:rPr>
        <w:t>质保期内</w:t>
      </w:r>
      <w:r>
        <w:rPr>
          <w:rFonts w:hint="eastAsia"/>
          <w:sz w:val="24"/>
        </w:rPr>
        <w:t>无质量问题</w:t>
      </w:r>
      <w:r>
        <w:rPr>
          <w:sz w:val="24"/>
        </w:rPr>
        <w:t>，甲方无息退还履约保证金。</w:t>
      </w:r>
    </w:p>
    <w:p w14:paraId="746B5AEB">
      <w:pPr>
        <w:rPr>
          <w:sz w:val="24"/>
        </w:rPr>
      </w:pPr>
      <w:r>
        <w:rPr>
          <w:rFonts w:hint="eastAsia"/>
          <w:sz w:val="24"/>
        </w:rPr>
        <w:t>三、交货及安装时间</w:t>
      </w:r>
      <w:r>
        <w:rPr>
          <w:sz w:val="24"/>
        </w:rPr>
        <w:t xml:space="preserve"> </w:t>
      </w:r>
    </w:p>
    <w:p w14:paraId="558BD365">
      <w:pPr>
        <w:rPr>
          <w:sz w:val="24"/>
        </w:rPr>
      </w:pPr>
      <w:r>
        <w:rPr>
          <w:rFonts w:hint="eastAsia"/>
          <w:sz w:val="24"/>
        </w:rPr>
        <w:t>（一）乙方应在合同签订后</w:t>
      </w:r>
      <w:r>
        <w:rPr>
          <w:sz w:val="24"/>
        </w:rPr>
        <w:t>5</w:t>
      </w:r>
      <w:r>
        <w:rPr>
          <w:rFonts w:hint="eastAsia"/>
          <w:sz w:val="24"/>
        </w:rPr>
        <w:t>日内将设备运抵甲方指定地点，并在</w:t>
      </w:r>
      <w:r>
        <w:rPr>
          <w:sz w:val="24"/>
        </w:rPr>
        <w:t>10</w:t>
      </w:r>
      <w:r>
        <w:rPr>
          <w:rFonts w:hint="eastAsia"/>
          <w:sz w:val="24"/>
        </w:rPr>
        <w:t>日内完成设备的安装、调试工作。</w:t>
      </w:r>
      <w:r>
        <w:rPr>
          <w:sz w:val="24"/>
        </w:rPr>
        <w:t xml:space="preserve"> </w:t>
      </w:r>
    </w:p>
    <w:p w14:paraId="7039A46D">
      <w:pPr>
        <w:rPr>
          <w:sz w:val="24"/>
        </w:rPr>
      </w:pPr>
      <w:r>
        <w:rPr>
          <w:rFonts w:hint="eastAsia"/>
          <w:sz w:val="24"/>
        </w:rPr>
        <w:t>（二）如因不可抗力或甲方原因导致交货、安装时间延误，乙方应及时通知甲方，双方协商确定新的交货、安装时间。</w:t>
      </w:r>
      <w:r>
        <w:rPr>
          <w:sz w:val="24"/>
        </w:rPr>
        <w:t xml:space="preserve"> </w:t>
      </w:r>
    </w:p>
    <w:p w14:paraId="6E65E886">
      <w:pPr>
        <w:rPr>
          <w:sz w:val="24"/>
        </w:rPr>
      </w:pPr>
      <w:r>
        <w:rPr>
          <w:rFonts w:hint="eastAsia"/>
          <w:sz w:val="24"/>
        </w:rPr>
        <w:t>四、质量标准及验收</w:t>
      </w:r>
      <w:r>
        <w:rPr>
          <w:sz w:val="24"/>
        </w:rPr>
        <w:t xml:space="preserve"> </w:t>
      </w:r>
    </w:p>
    <w:p w14:paraId="5696517E">
      <w:pPr>
        <w:rPr>
          <w:sz w:val="24"/>
        </w:rPr>
      </w:pPr>
      <w:r>
        <w:rPr>
          <w:rFonts w:hint="eastAsia"/>
          <w:sz w:val="24"/>
        </w:rPr>
        <w:t>（一）设备质量应符合国家相关标准及本合同约定的参数要求。</w:t>
      </w:r>
      <w:r>
        <w:rPr>
          <w:sz w:val="24"/>
        </w:rPr>
        <w:t xml:space="preserve"> </w:t>
      </w:r>
    </w:p>
    <w:p w14:paraId="5FC12F81">
      <w:pPr>
        <w:rPr>
          <w:sz w:val="24"/>
        </w:rPr>
      </w:pPr>
      <w:r>
        <w:rPr>
          <w:rFonts w:hint="eastAsia"/>
          <w:sz w:val="24"/>
        </w:rPr>
        <w:t>（二）设备安装调试完成后，乙方应向甲方提供检测达标报告。甲方在收到报告后</w:t>
      </w:r>
      <w:r>
        <w:rPr>
          <w:sz w:val="24"/>
        </w:rPr>
        <w:t>15</w:t>
      </w:r>
      <w:r>
        <w:rPr>
          <w:rFonts w:hint="eastAsia"/>
          <w:sz w:val="24"/>
        </w:rPr>
        <w:t>日内组织验收，验收合格的，双方签署验收合格文件；验收不合格的，乙方应在</w:t>
      </w:r>
      <w:r>
        <w:rPr>
          <w:sz w:val="24"/>
        </w:rPr>
        <w:t>7</w:t>
      </w:r>
      <w:r>
        <w:rPr>
          <w:rFonts w:hint="eastAsia"/>
          <w:sz w:val="24"/>
        </w:rPr>
        <w:t>日内免费进行整改，直至验收合格。</w:t>
      </w:r>
      <w:r>
        <w:rPr>
          <w:sz w:val="24"/>
        </w:rPr>
        <w:t xml:space="preserve"> </w:t>
      </w:r>
    </w:p>
    <w:p w14:paraId="114854D0">
      <w:pPr>
        <w:rPr>
          <w:sz w:val="24"/>
        </w:rPr>
      </w:pPr>
      <w:r>
        <w:rPr>
          <w:rFonts w:hint="eastAsia"/>
          <w:sz w:val="24"/>
        </w:rPr>
        <w:t>五、</w:t>
      </w:r>
      <w:r>
        <w:rPr>
          <w:sz w:val="24"/>
        </w:rPr>
        <w:t>质保期​</w:t>
      </w:r>
    </w:p>
    <w:p w14:paraId="1EEA6716">
      <w:pPr>
        <w:rPr>
          <w:sz w:val="24"/>
        </w:rPr>
      </w:pPr>
      <w:r>
        <w:rPr>
          <w:rFonts w:hint="eastAsia"/>
          <w:sz w:val="24"/>
        </w:rPr>
        <w:t>（一）</w:t>
      </w:r>
      <w:r>
        <w:rPr>
          <w:sz w:val="24"/>
        </w:rPr>
        <w:t>本项目质保期为设备验收合格之日起</w:t>
      </w:r>
      <w:r>
        <w:rPr>
          <w:rFonts w:hint="eastAsia"/>
          <w:sz w:val="24"/>
          <w:lang w:val="en-US" w:eastAsia="zh-CN"/>
        </w:rPr>
        <w:t>至少一年</w:t>
      </w:r>
      <w:r>
        <w:rPr>
          <w:sz w:val="24"/>
        </w:rPr>
        <w:t>。质保期内，乙方免费负责设备的维修、保养及零部件更换（因甲方使用不当造成的损坏除外）。</w:t>
      </w:r>
    </w:p>
    <w:p w14:paraId="21818153">
      <w:pPr>
        <w:rPr>
          <w:sz w:val="24"/>
        </w:rPr>
      </w:pPr>
      <w:r>
        <w:rPr>
          <w:rFonts w:hint="eastAsia"/>
          <w:sz w:val="24"/>
        </w:rPr>
        <w:t>（二）</w:t>
      </w:r>
      <w:r>
        <w:rPr>
          <w:sz w:val="24"/>
        </w:rPr>
        <w:t>设备出现故障时，乙方应在接到甲方通知后24小时内响应，并在48小时内到达现场进行维修，确保设备正常运行。</w:t>
      </w:r>
    </w:p>
    <w:p w14:paraId="004B07D3">
      <w:pPr>
        <w:rPr>
          <w:sz w:val="24"/>
        </w:rPr>
      </w:pPr>
      <w:r>
        <w:rPr>
          <w:rFonts w:hint="eastAsia"/>
          <w:sz w:val="24"/>
        </w:rPr>
        <w:t>六、双方权利义务</w:t>
      </w:r>
      <w:r>
        <w:rPr>
          <w:sz w:val="24"/>
        </w:rPr>
        <w:t xml:space="preserve"> </w:t>
      </w:r>
    </w:p>
    <w:p w14:paraId="5977E5BE">
      <w:pPr>
        <w:rPr>
          <w:sz w:val="24"/>
        </w:rPr>
      </w:pPr>
      <w:r>
        <w:rPr>
          <w:rFonts w:hint="eastAsia"/>
          <w:sz w:val="24"/>
        </w:rPr>
        <w:t>（一）甲方权利义务</w:t>
      </w:r>
    </w:p>
    <w:p w14:paraId="67B59DC9">
      <w:pPr>
        <w:rPr>
          <w:sz w:val="24"/>
        </w:rPr>
      </w:pPr>
      <w:r>
        <w:rPr>
          <w:rFonts w:hint="eastAsia"/>
          <w:sz w:val="24"/>
        </w:rPr>
        <w:t>1、甲方有权对乙方的设备供应、安装调试过程进行监督检查。</w:t>
      </w:r>
      <w:r>
        <w:rPr>
          <w:sz w:val="24"/>
        </w:rPr>
        <w:t xml:space="preserve"> </w:t>
      </w:r>
    </w:p>
    <w:p w14:paraId="3D732899">
      <w:pPr>
        <w:rPr>
          <w:sz w:val="24"/>
        </w:rPr>
      </w:pPr>
      <w:r>
        <w:rPr>
          <w:sz w:val="24"/>
        </w:rPr>
        <w:t>2</w:t>
      </w:r>
      <w:r>
        <w:rPr>
          <w:rFonts w:hint="eastAsia"/>
          <w:sz w:val="24"/>
        </w:rPr>
        <w:t>、甲方应按合同约定向乙方支付合同价款。</w:t>
      </w:r>
      <w:r>
        <w:rPr>
          <w:sz w:val="24"/>
        </w:rPr>
        <w:t xml:space="preserve"> </w:t>
      </w:r>
    </w:p>
    <w:p w14:paraId="05E943BC">
      <w:pPr>
        <w:rPr>
          <w:sz w:val="24"/>
        </w:rPr>
      </w:pPr>
      <w:r>
        <w:rPr>
          <w:sz w:val="24"/>
        </w:rPr>
        <w:t>3</w:t>
      </w:r>
      <w:r>
        <w:rPr>
          <w:rFonts w:hint="eastAsia"/>
          <w:sz w:val="24"/>
        </w:rPr>
        <w:t>、甲方应为乙方提供设备安装所需的必要条件和协助。</w:t>
      </w:r>
      <w:r>
        <w:rPr>
          <w:sz w:val="24"/>
        </w:rPr>
        <w:t xml:space="preserve"> </w:t>
      </w:r>
    </w:p>
    <w:p w14:paraId="60D84814">
      <w:pPr>
        <w:rPr>
          <w:sz w:val="24"/>
        </w:rPr>
      </w:pPr>
      <w:r>
        <w:rPr>
          <w:rFonts w:hint="eastAsia"/>
          <w:sz w:val="24"/>
        </w:rPr>
        <w:t>（二）乙方权利义务</w:t>
      </w:r>
    </w:p>
    <w:p w14:paraId="64521DBA">
      <w:pPr>
        <w:rPr>
          <w:sz w:val="24"/>
        </w:rPr>
      </w:pPr>
      <w:r>
        <w:rPr>
          <w:sz w:val="24"/>
        </w:rPr>
        <w:t>1</w:t>
      </w:r>
      <w:r>
        <w:rPr>
          <w:rFonts w:hint="eastAsia"/>
          <w:sz w:val="24"/>
        </w:rPr>
        <w:t>、乙方有权按照合同约定收取合同价款。</w:t>
      </w:r>
      <w:r>
        <w:rPr>
          <w:sz w:val="24"/>
        </w:rPr>
        <w:t xml:space="preserve"> </w:t>
      </w:r>
    </w:p>
    <w:p w14:paraId="3D4B4914">
      <w:pPr>
        <w:rPr>
          <w:sz w:val="24"/>
        </w:rPr>
      </w:pPr>
      <w:r>
        <w:rPr>
          <w:sz w:val="24"/>
        </w:rPr>
        <w:t>2</w:t>
      </w:r>
      <w:r>
        <w:rPr>
          <w:rFonts w:hint="eastAsia"/>
          <w:sz w:val="24"/>
        </w:rPr>
        <w:t>、乙方应按合同约定的时间、质量标准完成设备供应、安装调试工作。</w:t>
      </w:r>
      <w:r>
        <w:rPr>
          <w:sz w:val="24"/>
        </w:rPr>
        <w:t xml:space="preserve"> </w:t>
      </w:r>
    </w:p>
    <w:p w14:paraId="0C3F5C4F">
      <w:pPr>
        <w:rPr>
          <w:sz w:val="24"/>
        </w:rPr>
      </w:pPr>
      <w:r>
        <w:rPr>
          <w:sz w:val="24"/>
        </w:rPr>
        <w:t>3</w:t>
      </w:r>
      <w:r>
        <w:rPr>
          <w:rFonts w:hint="eastAsia"/>
          <w:sz w:val="24"/>
        </w:rPr>
        <w:t>、乙方应保证所提供的设备及服务不存在任何权利瑕疵和质量问题，如因设备质量问题或安装调试不当给甲方造成损失的，乙方应承担赔偿责任。</w:t>
      </w:r>
      <w:r>
        <w:rPr>
          <w:sz w:val="24"/>
        </w:rPr>
        <w:t xml:space="preserve"> </w:t>
      </w:r>
    </w:p>
    <w:p w14:paraId="75C50695">
      <w:pPr>
        <w:rPr>
          <w:sz w:val="24"/>
        </w:rPr>
      </w:pPr>
      <w:r>
        <w:rPr>
          <w:rFonts w:hint="eastAsia"/>
          <w:sz w:val="24"/>
        </w:rPr>
        <w:t>七、违约责任</w:t>
      </w:r>
      <w:r>
        <w:rPr>
          <w:sz w:val="24"/>
        </w:rPr>
        <w:t xml:space="preserve"> </w:t>
      </w:r>
    </w:p>
    <w:p w14:paraId="229A71B3">
      <w:pPr>
        <w:rPr>
          <w:sz w:val="24"/>
        </w:rPr>
      </w:pPr>
      <w:r>
        <w:rPr>
          <w:rFonts w:hint="eastAsia"/>
          <w:sz w:val="24"/>
        </w:rPr>
        <w:t>（一）若甲方未按合同约定支付合同价款，每逾期一日，应按照未支付金额的</w:t>
      </w:r>
      <w:r>
        <w:rPr>
          <w:sz w:val="24"/>
        </w:rPr>
        <w:t>0.</w:t>
      </w:r>
      <w:r>
        <w:rPr>
          <w:rFonts w:hint="eastAsia"/>
          <w:sz w:val="24"/>
        </w:rPr>
        <w:t>5‰向乙方支付违约金；逾期超过</w:t>
      </w:r>
      <w:r>
        <w:rPr>
          <w:sz w:val="24"/>
        </w:rPr>
        <w:t>30</w:t>
      </w:r>
      <w:r>
        <w:rPr>
          <w:rFonts w:hint="eastAsia"/>
          <w:sz w:val="24"/>
        </w:rPr>
        <w:t>日的，乙方有权解除合同，并要求甲方赔偿因此造成的损失。</w:t>
      </w:r>
      <w:r>
        <w:rPr>
          <w:sz w:val="24"/>
        </w:rPr>
        <w:t xml:space="preserve"> </w:t>
      </w:r>
    </w:p>
    <w:p w14:paraId="1A08A557">
      <w:pPr>
        <w:rPr>
          <w:sz w:val="24"/>
        </w:rPr>
      </w:pPr>
      <w:r>
        <w:rPr>
          <w:rFonts w:hint="eastAsia"/>
          <w:sz w:val="24"/>
        </w:rPr>
        <w:t>（二）若乙方未按合同约定的时间完成设备供应、安装调试工作，每逾期一日，应按照合同总价款的</w:t>
      </w:r>
      <w:r>
        <w:rPr>
          <w:sz w:val="24"/>
        </w:rPr>
        <w:t>0.</w:t>
      </w:r>
      <w:r>
        <w:rPr>
          <w:rFonts w:hint="eastAsia"/>
          <w:sz w:val="24"/>
        </w:rPr>
        <w:t>5‰向甲方支付违约金；逾期超过</w:t>
      </w:r>
      <w:r>
        <w:rPr>
          <w:sz w:val="24"/>
        </w:rPr>
        <w:t>15</w:t>
      </w:r>
      <w:r>
        <w:rPr>
          <w:rFonts w:hint="eastAsia"/>
          <w:sz w:val="24"/>
        </w:rPr>
        <w:t>日的，甲方有权解除合同，并要求乙方赔偿因此造成的损失。</w:t>
      </w:r>
      <w:r>
        <w:rPr>
          <w:sz w:val="24"/>
        </w:rPr>
        <w:t xml:space="preserve"> </w:t>
      </w:r>
    </w:p>
    <w:p w14:paraId="58BBAEC1">
      <w:pPr>
        <w:rPr>
          <w:sz w:val="24"/>
        </w:rPr>
      </w:pPr>
      <w:r>
        <w:rPr>
          <w:rFonts w:hint="eastAsia"/>
          <w:sz w:val="24"/>
        </w:rPr>
        <w:t>（三）若设备验收不合格，乙方未在规定时间内整改合格的，甲方有权解除合同，乙方应退还甲方已支付的全部款项，并按照合同总价款的5%向甲方支付违约金，同时赔偿甲方因此造成的损失。</w:t>
      </w:r>
      <w:r>
        <w:rPr>
          <w:sz w:val="24"/>
        </w:rPr>
        <w:t xml:space="preserve"> </w:t>
      </w:r>
    </w:p>
    <w:p w14:paraId="332C0C23">
      <w:pPr>
        <w:rPr>
          <w:sz w:val="24"/>
        </w:rPr>
      </w:pPr>
      <w:r>
        <w:rPr>
          <w:rFonts w:hint="eastAsia"/>
          <w:sz w:val="24"/>
        </w:rPr>
        <w:t>八、不可抗力</w:t>
      </w:r>
    </w:p>
    <w:p w14:paraId="3BDA7561">
      <w:pPr>
        <w:rPr>
          <w:sz w:val="24"/>
        </w:rPr>
      </w:pPr>
      <w:r>
        <w:rPr>
          <w:rFonts w:hint="eastAsia"/>
          <w:sz w:val="24"/>
        </w:rPr>
        <w:t>不可抗力指战争、严重火灾、洪水、台风、地震等或其他双方认定的不可抗力事件。甲乙双方的任何一方由于不可抗力的原因不能履行或不能完全履行合同时，应在不可抗力事件发生后的24小时内尽快向对方通报理由，并在7个工作日内提供由相关政府部门或权威机构出具的相应证明。在提供相应证明后，根据不可抗力的影响，可允许延期履行、部分履行或不履行合同，并可根据实际情况部分或全部免于承担违约责任。</w:t>
      </w:r>
    </w:p>
    <w:p w14:paraId="46D5DBD6">
      <w:pPr>
        <w:rPr>
          <w:sz w:val="24"/>
        </w:rPr>
      </w:pPr>
      <w:r>
        <w:rPr>
          <w:rFonts w:hint="eastAsia"/>
          <w:sz w:val="24"/>
        </w:rPr>
        <w:t>九、争议解决</w:t>
      </w:r>
      <w:r>
        <w:rPr>
          <w:sz w:val="24"/>
        </w:rPr>
        <w:t xml:space="preserve"> </w:t>
      </w:r>
    </w:p>
    <w:p w14:paraId="155F732B">
      <w:pPr>
        <w:rPr>
          <w:sz w:val="24"/>
        </w:rPr>
      </w:pPr>
      <w:r>
        <w:rPr>
          <w:rFonts w:hint="eastAsia"/>
          <w:sz w:val="24"/>
        </w:rPr>
        <w:t>本合同在履行过程中如发生争议，双方应首先友好协商解决；协商不成的，任何一方均有权向合同签订地有管辖权的人民法院提起诉讼。</w:t>
      </w:r>
      <w:r>
        <w:rPr>
          <w:sz w:val="24"/>
        </w:rPr>
        <w:t xml:space="preserve"> </w:t>
      </w:r>
    </w:p>
    <w:p w14:paraId="09D1E49C">
      <w:pPr>
        <w:rPr>
          <w:sz w:val="24"/>
        </w:rPr>
      </w:pPr>
      <w:r>
        <w:rPr>
          <w:rFonts w:hint="eastAsia"/>
          <w:sz w:val="24"/>
        </w:rPr>
        <w:t>十、其他条款</w:t>
      </w:r>
      <w:r>
        <w:rPr>
          <w:sz w:val="24"/>
        </w:rPr>
        <w:t xml:space="preserve"> </w:t>
      </w:r>
    </w:p>
    <w:p w14:paraId="543BD9B0">
      <w:pPr>
        <w:rPr>
          <w:sz w:val="24"/>
        </w:rPr>
      </w:pPr>
      <w:r>
        <w:rPr>
          <w:rFonts w:hint="eastAsia"/>
          <w:sz w:val="24"/>
        </w:rPr>
        <w:t>（一）本合同一式陆份，其中甲方肆份，乙方贰份，由双方</w:t>
      </w:r>
      <w:bookmarkStart w:id="6" w:name="OLE_LINK24"/>
      <w:r>
        <w:rPr>
          <w:rFonts w:hint="eastAsia"/>
          <w:sz w:val="24"/>
        </w:rPr>
        <w:t>法定代表人或委托代理人</w:t>
      </w:r>
      <w:bookmarkEnd w:id="6"/>
      <w:r>
        <w:rPr>
          <w:rFonts w:hint="eastAsia"/>
          <w:sz w:val="24"/>
        </w:rPr>
        <w:t>签字盖章后立即生效，具有同等法律效力。</w:t>
      </w:r>
    </w:p>
    <w:p w14:paraId="171B0470">
      <w:pPr>
        <w:rPr>
          <w:sz w:val="24"/>
        </w:rPr>
      </w:pPr>
      <w:r>
        <w:rPr>
          <w:rFonts w:hint="eastAsia"/>
          <w:sz w:val="24"/>
        </w:rPr>
        <w:t>（二）本合同未尽事宜，双方可另行签订补充协议，补充协议与本合同具有同等法律效力。补充协议内容与本合同不一致的，以补充协议为准。</w:t>
      </w:r>
      <w:r>
        <w:rPr>
          <w:sz w:val="24"/>
        </w:rPr>
        <w:t xml:space="preserve"> </w:t>
      </w:r>
    </w:p>
    <w:p w14:paraId="02860BD1">
      <w:pPr>
        <w:rPr>
          <w:sz w:val="24"/>
        </w:rPr>
      </w:pPr>
      <w:r>
        <w:rPr>
          <w:rFonts w:hint="eastAsia"/>
          <w:sz w:val="24"/>
        </w:rPr>
        <w:t>甲方（盖章）：</w:t>
      </w:r>
      <w:r>
        <w:rPr>
          <w:sz w:val="24"/>
        </w:rPr>
        <w:t xml:space="preserve">__________________ </w:t>
      </w:r>
    </w:p>
    <w:p w14:paraId="6B7FFD35">
      <w:pPr>
        <w:rPr>
          <w:sz w:val="24"/>
        </w:rPr>
      </w:pPr>
      <w:r>
        <w:rPr>
          <w:rFonts w:hint="eastAsia"/>
          <w:sz w:val="24"/>
        </w:rPr>
        <w:t>法定代表人或委托代理人（签字）：</w:t>
      </w:r>
      <w:r>
        <w:rPr>
          <w:sz w:val="24"/>
        </w:rPr>
        <w:t xml:space="preserve">____________ </w:t>
      </w:r>
    </w:p>
    <w:p w14:paraId="2821C182">
      <w:pPr>
        <w:rPr>
          <w:sz w:val="24"/>
        </w:rPr>
      </w:pPr>
      <w:r>
        <w:rPr>
          <w:rFonts w:hint="eastAsia"/>
          <w:sz w:val="24"/>
        </w:rPr>
        <w:t>签订日期：</w:t>
      </w:r>
      <w:r>
        <w:rPr>
          <w:sz w:val="24"/>
        </w:rPr>
        <w:t>______</w:t>
      </w:r>
      <w:r>
        <w:rPr>
          <w:rFonts w:hint="eastAsia"/>
          <w:sz w:val="24"/>
        </w:rPr>
        <w:t>年</w:t>
      </w:r>
      <w:r>
        <w:rPr>
          <w:sz w:val="24"/>
        </w:rPr>
        <w:t>____</w:t>
      </w:r>
      <w:r>
        <w:rPr>
          <w:rFonts w:hint="eastAsia"/>
          <w:sz w:val="24"/>
        </w:rPr>
        <w:t>月</w:t>
      </w:r>
      <w:r>
        <w:rPr>
          <w:sz w:val="24"/>
        </w:rPr>
        <w:t>____</w:t>
      </w:r>
      <w:r>
        <w:rPr>
          <w:rFonts w:hint="eastAsia"/>
          <w:sz w:val="24"/>
        </w:rPr>
        <w:t>日</w:t>
      </w:r>
      <w:r>
        <w:rPr>
          <w:sz w:val="24"/>
        </w:rPr>
        <w:t xml:space="preserve"> </w:t>
      </w:r>
    </w:p>
    <w:p w14:paraId="32096E52">
      <w:pPr>
        <w:rPr>
          <w:sz w:val="24"/>
        </w:rPr>
      </w:pPr>
      <w:r>
        <w:rPr>
          <w:rFonts w:hint="eastAsia"/>
          <w:sz w:val="24"/>
        </w:rPr>
        <w:t>乙方（盖章）：</w:t>
      </w:r>
      <w:r>
        <w:rPr>
          <w:sz w:val="24"/>
        </w:rPr>
        <w:t xml:space="preserve">__________________ </w:t>
      </w:r>
    </w:p>
    <w:p w14:paraId="2EDA0E51">
      <w:pPr>
        <w:rPr>
          <w:sz w:val="24"/>
        </w:rPr>
      </w:pPr>
      <w:r>
        <w:rPr>
          <w:rFonts w:hint="eastAsia"/>
          <w:sz w:val="24"/>
        </w:rPr>
        <w:t>法定代表人或委托代理人（签字）：</w:t>
      </w:r>
      <w:r>
        <w:rPr>
          <w:sz w:val="24"/>
        </w:rPr>
        <w:t xml:space="preserve">____________ </w:t>
      </w:r>
    </w:p>
    <w:p w14:paraId="3610DD2E">
      <w:pPr>
        <w:rPr>
          <w:rFonts w:hint="eastAsia"/>
          <w:sz w:val="24"/>
        </w:rPr>
      </w:pPr>
      <w:r>
        <w:rPr>
          <w:rFonts w:hint="eastAsia"/>
          <w:sz w:val="24"/>
        </w:rPr>
        <w:t>签订日期：</w:t>
      </w:r>
      <w:r>
        <w:rPr>
          <w:sz w:val="24"/>
        </w:rPr>
        <w:t>______</w:t>
      </w:r>
      <w:r>
        <w:rPr>
          <w:rFonts w:hint="eastAsia"/>
          <w:sz w:val="24"/>
        </w:rPr>
        <w:t>年</w:t>
      </w:r>
      <w:r>
        <w:rPr>
          <w:sz w:val="24"/>
        </w:rPr>
        <w:t>____</w:t>
      </w:r>
      <w:r>
        <w:rPr>
          <w:rFonts w:hint="eastAsia"/>
          <w:sz w:val="24"/>
        </w:rPr>
        <w:t>月</w:t>
      </w:r>
      <w:r>
        <w:rPr>
          <w:sz w:val="24"/>
        </w:rPr>
        <w:t>____</w:t>
      </w:r>
      <w:r>
        <w:rPr>
          <w:rFonts w:hint="eastAsia"/>
          <w:sz w:val="24"/>
        </w:rPr>
        <w:t>日</w:t>
      </w:r>
      <w:r>
        <w:rPr>
          <w:sz w:val="24"/>
        </w:rPr>
        <w:t xml:space="preserve"> </w:t>
      </w:r>
    </w:p>
    <w:p w14:paraId="0EBAD4F7">
      <w:pPr>
        <w:ind w:left="420"/>
        <w:rPr>
          <w:sz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8EFD3E"/>
    <w:multiLevelType w:val="singleLevel"/>
    <w:tmpl w:val="178EFD3E"/>
    <w:lvl w:ilvl="0" w:tentative="0">
      <w:start w:val="2"/>
      <w:numFmt w:val="chineseCounting"/>
      <w:suff w:val="nothing"/>
      <w:lvlText w:val="（%1）"/>
      <w:lvlJc w:val="left"/>
      <w:rPr>
        <w:rFonts w:hint="eastAsia"/>
      </w:rPr>
    </w:lvl>
  </w:abstractNum>
  <w:abstractNum w:abstractNumId="1">
    <w:nsid w:val="36C15082"/>
    <w:multiLevelType w:val="singleLevel"/>
    <w:tmpl w:val="36C15082"/>
    <w:lvl w:ilvl="0" w:tentative="0">
      <w:start w:val="1"/>
      <w:numFmt w:val="chineseCounting"/>
      <w:suff w:val="nothing"/>
      <w:lvlText w:val="%1、"/>
      <w:lvlJc w:val="left"/>
      <w:pPr>
        <w:ind w:left="0" w:firstLine="420"/>
      </w:pPr>
      <w:rPr>
        <w:rFonts w:hint="eastAsia"/>
      </w:rPr>
    </w:lvl>
  </w:abstractNum>
  <w:abstractNum w:abstractNumId="2">
    <w:nsid w:val="49A92117"/>
    <w:multiLevelType w:val="singleLevel"/>
    <w:tmpl w:val="49A92117"/>
    <w:lvl w:ilvl="0" w:tentative="0">
      <w:start w:val="5"/>
      <w:numFmt w:val="chineseCounting"/>
      <w:suff w:val="nothing"/>
      <w:lvlText w:val="（%1）"/>
      <w:lvlJc w:val="left"/>
      <w:rPr>
        <w:rFonts w:hint="eastAsia"/>
      </w:rPr>
    </w:lvl>
  </w:abstractNum>
  <w:abstractNum w:abstractNumId="3">
    <w:nsid w:val="73725822"/>
    <w:multiLevelType w:val="singleLevel"/>
    <w:tmpl w:val="73725822"/>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mMGIyYmZkZjgyMmM5ZjJiOTFiZWE1OGE3YjhjZDIifQ=="/>
  </w:docVars>
  <w:rsids>
    <w:rsidRoot w:val="00025A60"/>
    <w:rsid w:val="00025A60"/>
    <w:rsid w:val="00441634"/>
    <w:rsid w:val="005166CF"/>
    <w:rsid w:val="00573921"/>
    <w:rsid w:val="005C4880"/>
    <w:rsid w:val="00676BBC"/>
    <w:rsid w:val="008739EE"/>
    <w:rsid w:val="00A8356B"/>
    <w:rsid w:val="00B31CCC"/>
    <w:rsid w:val="00CC5FC8"/>
    <w:rsid w:val="00CE037E"/>
    <w:rsid w:val="00D13833"/>
    <w:rsid w:val="00F1603E"/>
    <w:rsid w:val="01FA6A1F"/>
    <w:rsid w:val="04385A96"/>
    <w:rsid w:val="0C6805B7"/>
    <w:rsid w:val="104F3F68"/>
    <w:rsid w:val="11052878"/>
    <w:rsid w:val="161B15A8"/>
    <w:rsid w:val="16D560F4"/>
    <w:rsid w:val="1C025E94"/>
    <w:rsid w:val="1EDA17E8"/>
    <w:rsid w:val="1FCB1131"/>
    <w:rsid w:val="202366A3"/>
    <w:rsid w:val="26804A23"/>
    <w:rsid w:val="26964247"/>
    <w:rsid w:val="2C47237B"/>
    <w:rsid w:val="2CE118AF"/>
    <w:rsid w:val="2CE453B8"/>
    <w:rsid w:val="2D5E0D06"/>
    <w:rsid w:val="32543208"/>
    <w:rsid w:val="352D27C8"/>
    <w:rsid w:val="378B3228"/>
    <w:rsid w:val="399B34CA"/>
    <w:rsid w:val="3A345F6B"/>
    <w:rsid w:val="3C88242C"/>
    <w:rsid w:val="3EF64A27"/>
    <w:rsid w:val="411035DF"/>
    <w:rsid w:val="418B3A39"/>
    <w:rsid w:val="44AB315B"/>
    <w:rsid w:val="45473E04"/>
    <w:rsid w:val="473236C0"/>
    <w:rsid w:val="48C77E38"/>
    <w:rsid w:val="4AE64EED"/>
    <w:rsid w:val="4CAC7A71"/>
    <w:rsid w:val="4E8A3DE2"/>
    <w:rsid w:val="4FAB400F"/>
    <w:rsid w:val="517448D5"/>
    <w:rsid w:val="553C395C"/>
    <w:rsid w:val="57947A7F"/>
    <w:rsid w:val="58312587"/>
    <w:rsid w:val="5B237853"/>
    <w:rsid w:val="5E0272E6"/>
    <w:rsid w:val="609C5C96"/>
    <w:rsid w:val="6E4340D9"/>
    <w:rsid w:val="733861E0"/>
    <w:rsid w:val="73914886"/>
    <w:rsid w:val="761C0F14"/>
    <w:rsid w:val="76F0487A"/>
    <w:rsid w:val="78823118"/>
    <w:rsid w:val="7A8F2F24"/>
    <w:rsid w:val="7D1C4B6E"/>
    <w:rsid w:val="7FCB6D9B"/>
    <w:rsid w:val="7FDD7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Normal Indent1"/>
    <w:basedOn w:val="1"/>
    <w:qFormat/>
    <w:uiPriority w:val="0"/>
    <w:pPr>
      <w:widowControl/>
      <w:ind w:firstLine="420"/>
      <w:jc w:val="left"/>
    </w:pPr>
    <w:rPr>
      <w:rFonts w:ascii="Times New Roman" w:hAnsi="Times New Roman" w:eastAsia="宋体" w:cs="Times New Roman"/>
      <w:kern w:val="0"/>
      <w:szCs w:val="20"/>
    </w:rPr>
  </w:style>
  <w:style w:type="paragraph" w:styleId="3">
    <w:name w:val="Normal Indent"/>
    <w:basedOn w:val="1"/>
    <w:qFormat/>
    <w:uiPriority w:val="0"/>
    <w:pPr>
      <w:ind w:firstLine="420"/>
    </w:pPr>
    <w:rPr>
      <w:sz w:val="28"/>
      <w:szCs w:val="28"/>
    </w:rPr>
  </w:style>
  <w:style w:type="paragraph" w:styleId="4">
    <w:name w:val="annotation text"/>
    <w:basedOn w:val="1"/>
    <w:qFormat/>
    <w:uiPriority w:val="0"/>
    <w:pPr>
      <w:jc w:val="left"/>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kern w:val="2"/>
      <w:sz w:val="18"/>
      <w:szCs w:val="18"/>
    </w:rPr>
  </w:style>
  <w:style w:type="character" w:customStyle="1" w:styleId="10">
    <w:name w:val="页脚 Char"/>
    <w:basedOn w:val="8"/>
    <w:link w:val="5"/>
    <w:qFormat/>
    <w:uiPriority w:val="0"/>
    <w:rPr>
      <w:kern w:val="2"/>
      <w:sz w:val="18"/>
      <w:szCs w:val="18"/>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3880</Words>
  <Characters>4220</Characters>
  <Lines>28</Lines>
  <Paragraphs>7</Paragraphs>
  <TotalTime>23</TotalTime>
  <ScaleCrop>false</ScaleCrop>
  <LinksUpToDate>false</LinksUpToDate>
  <CharactersWithSpaces>4365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2025-06-16T09:22:00Z</dcterms:created>
  <dc:creator>DELL</dc:creator>
  <cp:lastModifiedBy>巾凡</cp:lastModifiedBy>
  <cp:lastPrinted>2024-06-06T09:44:00Z</cp:lastPrinted>
  <dcterms:modified xsi:type="dcterms:W3CDTF">2025-08-28T02:15:25Z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A9494BFA0A5D4843A5F535FB55D0D796_13</vt:lpwstr>
  </property>
  <property fmtid="{D5CDD505-2E9C-101B-9397-08002B2CF9AE}" pid="4" name="KSOTemplateDocerSaveRecord">
    <vt:lpwstr>eyJoZGlkIjoiZDYwNWUwYjgwYWQ0ZGM1MTI0Y2U0MWEwYWVhOGM4NTMiLCJ1c2VySWQiOiIzOTM1MzM2NjEifQ==</vt:lpwstr>
  </property>
</Properties>
</file>