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BC894">
      <w:pPr>
        <w:ind w:left="420"/>
        <w:jc w:val="center"/>
        <w:rPr>
          <w:b/>
          <w:bCs/>
          <w:sz w:val="24"/>
        </w:rPr>
      </w:pPr>
      <w:r>
        <w:rPr>
          <w:rFonts w:hint="eastAsia"/>
          <w:b/>
          <w:bCs/>
          <w:sz w:val="24"/>
        </w:rPr>
        <w:t>采购需求书</w:t>
      </w:r>
    </w:p>
    <w:p w14:paraId="12F6247C">
      <w:pPr>
        <w:numPr>
          <w:ilvl w:val="0"/>
          <w:numId w:val="1"/>
        </w:numPr>
        <w:rPr>
          <w:sz w:val="24"/>
        </w:rPr>
      </w:pPr>
      <w:r>
        <w:rPr>
          <w:rFonts w:hint="eastAsia"/>
          <w:b/>
          <w:bCs/>
          <w:sz w:val="24"/>
        </w:rPr>
        <w:t>项目名称</w:t>
      </w:r>
    </w:p>
    <w:p w14:paraId="46248F0F">
      <w:pPr>
        <w:ind w:firstLine="630" w:firstLineChars="300"/>
      </w:pPr>
      <w:r>
        <w:rPr>
          <w:rFonts w:hint="eastAsia"/>
        </w:rPr>
        <w:t>南方医科大学中西医结合医院国家中医药适宜技术研究推广中心采购安装床帘项目</w:t>
      </w:r>
    </w:p>
    <w:p w14:paraId="1761FE2B">
      <w:pPr>
        <w:rPr>
          <w:sz w:val="24"/>
        </w:rPr>
      </w:pPr>
    </w:p>
    <w:p w14:paraId="1D60A62D">
      <w:pPr>
        <w:numPr>
          <w:ilvl w:val="0"/>
          <w:numId w:val="1"/>
        </w:numPr>
        <w:rPr>
          <w:b/>
          <w:bCs/>
          <w:sz w:val="24"/>
        </w:rPr>
      </w:pPr>
      <w:r>
        <w:rPr>
          <w:rFonts w:hint="eastAsia"/>
          <w:b/>
          <w:bCs/>
          <w:sz w:val="24"/>
        </w:rPr>
        <w:t>参选人资格</w:t>
      </w:r>
    </w:p>
    <w:p w14:paraId="63A97FC2">
      <w:pPr>
        <w:adjustRightInd w:val="0"/>
        <w:snapToGrid w:val="0"/>
        <w:spacing w:line="300" w:lineRule="auto"/>
        <w:ind w:firstLine="420" w:firstLineChars="200"/>
        <w:rPr>
          <w:rFonts w:ascii="Arial Unicode MS" w:hAnsi="Arial Unicode MS" w:cs="宋体"/>
          <w:szCs w:val="21"/>
        </w:rPr>
      </w:pPr>
      <w:bookmarkStart w:id="1" w:name="_GoBack"/>
      <w:bookmarkEnd w:id="1"/>
      <w:r>
        <w:rPr>
          <w:rFonts w:hint="eastAsia" w:ascii="Arial Unicode MS" w:hAnsi="Arial Unicode MS" w:cs="宋体"/>
          <w:szCs w:val="21"/>
        </w:rPr>
        <w:t>参选人必须具备国内独立法人资格，持有合法的企业法人营业执照；</w:t>
      </w:r>
    </w:p>
    <w:p w14:paraId="06649476">
      <w:pPr>
        <w:rPr>
          <w:sz w:val="24"/>
        </w:rPr>
      </w:pPr>
    </w:p>
    <w:p w14:paraId="215E5777">
      <w:pPr>
        <w:numPr>
          <w:ilvl w:val="0"/>
          <w:numId w:val="1"/>
        </w:numPr>
        <w:rPr>
          <w:b/>
          <w:bCs/>
          <w:sz w:val="24"/>
        </w:rPr>
      </w:pPr>
      <w:r>
        <w:rPr>
          <w:rFonts w:hint="eastAsia"/>
          <w:b/>
          <w:bCs/>
          <w:sz w:val="24"/>
        </w:rPr>
        <w:t>项目需求（以下内容仅为参考，具体事宜可以与招标办人员沟通）</w:t>
      </w:r>
    </w:p>
    <w:p w14:paraId="2E1AE4D2">
      <w:pPr>
        <w:rPr>
          <w:sz w:val="24"/>
        </w:rPr>
      </w:pPr>
    </w:p>
    <w:p w14:paraId="72752EEC">
      <w:pPr>
        <w:pStyle w:val="11"/>
        <w:numPr>
          <w:ilvl w:val="0"/>
          <w:numId w:val="2"/>
        </w:numPr>
        <w:ind w:firstLineChars="0"/>
        <w:rPr>
          <w:sz w:val="24"/>
        </w:rPr>
      </w:pPr>
      <w:r>
        <w:rPr>
          <w:rFonts w:hint="eastAsia"/>
          <w:sz w:val="24"/>
        </w:rPr>
        <w:t>项目内容：</w:t>
      </w:r>
    </w:p>
    <w:tbl>
      <w:tblPr>
        <w:tblStyle w:val="7"/>
        <w:tblW w:w="9920" w:type="dxa"/>
        <w:tblInd w:w="-1232" w:type="dxa"/>
        <w:tblLayout w:type="autofit"/>
        <w:tblCellMar>
          <w:top w:w="0" w:type="dxa"/>
          <w:left w:w="108" w:type="dxa"/>
          <w:bottom w:w="0" w:type="dxa"/>
          <w:right w:w="108" w:type="dxa"/>
        </w:tblCellMar>
      </w:tblPr>
      <w:tblGrid>
        <w:gridCol w:w="4220"/>
        <w:gridCol w:w="700"/>
        <w:gridCol w:w="580"/>
        <w:gridCol w:w="580"/>
        <w:gridCol w:w="1120"/>
        <w:gridCol w:w="940"/>
        <w:gridCol w:w="1780"/>
      </w:tblGrid>
      <w:tr w14:paraId="6783D77F">
        <w:tblPrEx>
          <w:tblCellMar>
            <w:top w:w="0" w:type="dxa"/>
            <w:left w:w="108" w:type="dxa"/>
            <w:bottom w:w="0" w:type="dxa"/>
            <w:right w:w="108" w:type="dxa"/>
          </w:tblCellMar>
        </w:tblPrEx>
        <w:trPr>
          <w:trHeight w:val="522" w:hRule="atLeast"/>
        </w:trPr>
        <w:tc>
          <w:tcPr>
            <w:tcW w:w="4220" w:type="dxa"/>
            <w:tcBorders>
              <w:top w:val="single" w:color="auto" w:sz="4" w:space="0"/>
              <w:left w:val="single" w:color="auto" w:sz="4" w:space="0"/>
              <w:bottom w:val="single" w:color="auto" w:sz="4" w:space="0"/>
              <w:right w:val="single" w:color="auto" w:sz="4" w:space="0"/>
            </w:tcBorders>
            <w:shd w:val="clear" w:color="000000" w:fill="FFFFFF"/>
            <w:vAlign w:val="center"/>
          </w:tcPr>
          <w:p w14:paraId="0C09C568">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产品名称</w:t>
            </w:r>
          </w:p>
        </w:tc>
        <w:tc>
          <w:tcPr>
            <w:tcW w:w="700" w:type="dxa"/>
            <w:tcBorders>
              <w:top w:val="single" w:color="auto" w:sz="4" w:space="0"/>
              <w:left w:val="nil"/>
              <w:bottom w:val="single" w:color="auto" w:sz="4" w:space="0"/>
              <w:right w:val="single" w:color="auto" w:sz="4" w:space="0"/>
            </w:tcBorders>
            <w:shd w:val="clear" w:color="000000" w:fill="FFFFFF"/>
            <w:vAlign w:val="center"/>
          </w:tcPr>
          <w:p w14:paraId="72C7AE75">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单位</w:t>
            </w:r>
          </w:p>
        </w:tc>
        <w:tc>
          <w:tcPr>
            <w:tcW w:w="580" w:type="dxa"/>
            <w:tcBorders>
              <w:top w:val="single" w:color="auto" w:sz="4" w:space="0"/>
              <w:left w:val="nil"/>
              <w:bottom w:val="single" w:color="auto" w:sz="4" w:space="0"/>
              <w:right w:val="single" w:color="auto" w:sz="4" w:space="0"/>
            </w:tcBorders>
            <w:shd w:val="clear" w:color="000000" w:fill="FFFFFF"/>
            <w:vAlign w:val="center"/>
          </w:tcPr>
          <w:p w14:paraId="35CCB1CA">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宽</w:t>
            </w:r>
          </w:p>
        </w:tc>
        <w:tc>
          <w:tcPr>
            <w:tcW w:w="580" w:type="dxa"/>
            <w:tcBorders>
              <w:top w:val="single" w:color="auto" w:sz="4" w:space="0"/>
              <w:left w:val="nil"/>
              <w:bottom w:val="single" w:color="auto" w:sz="4" w:space="0"/>
              <w:right w:val="single" w:color="auto" w:sz="4" w:space="0"/>
            </w:tcBorders>
            <w:shd w:val="clear" w:color="000000" w:fill="FFFFFF"/>
            <w:vAlign w:val="center"/>
          </w:tcPr>
          <w:p w14:paraId="036AD51A">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高</w:t>
            </w:r>
          </w:p>
        </w:tc>
        <w:tc>
          <w:tcPr>
            <w:tcW w:w="1120" w:type="dxa"/>
            <w:tcBorders>
              <w:top w:val="single" w:color="auto" w:sz="4" w:space="0"/>
              <w:left w:val="nil"/>
              <w:bottom w:val="single" w:color="auto" w:sz="4" w:space="0"/>
              <w:right w:val="single" w:color="auto" w:sz="4" w:space="0"/>
            </w:tcBorders>
            <w:shd w:val="clear" w:color="000000" w:fill="FFFFFF"/>
            <w:vAlign w:val="center"/>
          </w:tcPr>
          <w:p w14:paraId="7E3714F4">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数量/套</w:t>
            </w:r>
          </w:p>
        </w:tc>
        <w:tc>
          <w:tcPr>
            <w:tcW w:w="940" w:type="dxa"/>
            <w:tcBorders>
              <w:top w:val="single" w:color="auto" w:sz="4" w:space="0"/>
              <w:left w:val="nil"/>
              <w:bottom w:val="single" w:color="auto" w:sz="4" w:space="0"/>
              <w:right w:val="single" w:color="auto" w:sz="4" w:space="0"/>
            </w:tcBorders>
            <w:shd w:val="clear" w:color="000000" w:fill="FFFFFF"/>
            <w:vAlign w:val="center"/>
          </w:tcPr>
          <w:p w14:paraId="6B854495">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用量</w:t>
            </w:r>
          </w:p>
        </w:tc>
        <w:tc>
          <w:tcPr>
            <w:tcW w:w="1780" w:type="dxa"/>
            <w:tcBorders>
              <w:top w:val="single" w:color="auto" w:sz="4" w:space="0"/>
              <w:left w:val="nil"/>
              <w:bottom w:val="single" w:color="auto" w:sz="4" w:space="0"/>
              <w:right w:val="single" w:color="auto" w:sz="4" w:space="0"/>
            </w:tcBorders>
            <w:shd w:val="clear" w:color="000000" w:fill="FFFFFF"/>
            <w:vAlign w:val="center"/>
          </w:tcPr>
          <w:p w14:paraId="7169304B">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备注</w:t>
            </w:r>
          </w:p>
        </w:tc>
      </w:tr>
      <w:tr w14:paraId="393A2108">
        <w:tblPrEx>
          <w:tblCellMar>
            <w:top w:w="0" w:type="dxa"/>
            <w:left w:w="108" w:type="dxa"/>
            <w:bottom w:w="0" w:type="dxa"/>
            <w:right w:w="108" w:type="dxa"/>
          </w:tblCellMar>
        </w:tblPrEx>
        <w:trPr>
          <w:trHeight w:val="342" w:hRule="atLeast"/>
        </w:trPr>
        <w:tc>
          <w:tcPr>
            <w:tcW w:w="4220" w:type="dxa"/>
            <w:tcBorders>
              <w:top w:val="single" w:color="auto" w:sz="4" w:space="0"/>
              <w:left w:val="single" w:color="auto" w:sz="4" w:space="0"/>
              <w:bottom w:val="single" w:color="auto" w:sz="4" w:space="0"/>
              <w:right w:val="single" w:color="auto" w:sz="4" w:space="0"/>
            </w:tcBorders>
            <w:shd w:val="clear" w:color="000000" w:fill="FFFFFF"/>
            <w:vAlign w:val="center"/>
          </w:tcPr>
          <w:p w14:paraId="58B8DF28">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医用隔帘</w:t>
            </w:r>
          </w:p>
        </w:tc>
        <w:tc>
          <w:tcPr>
            <w:tcW w:w="700" w:type="dxa"/>
            <w:tcBorders>
              <w:top w:val="nil"/>
              <w:left w:val="nil"/>
              <w:bottom w:val="single" w:color="auto" w:sz="4" w:space="0"/>
              <w:right w:val="single" w:color="auto" w:sz="4" w:space="0"/>
            </w:tcBorders>
            <w:shd w:val="clear" w:color="000000" w:fill="FFFFFF"/>
            <w:vAlign w:val="center"/>
          </w:tcPr>
          <w:p w14:paraId="7636DD25">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米</w:t>
            </w:r>
          </w:p>
        </w:tc>
        <w:tc>
          <w:tcPr>
            <w:tcW w:w="580" w:type="dxa"/>
            <w:tcBorders>
              <w:top w:val="nil"/>
              <w:left w:val="nil"/>
              <w:bottom w:val="single" w:color="auto" w:sz="4" w:space="0"/>
              <w:right w:val="single" w:color="auto" w:sz="4" w:space="0"/>
            </w:tcBorders>
            <w:shd w:val="clear" w:color="000000" w:fill="FFFFFF"/>
            <w:vAlign w:val="center"/>
          </w:tcPr>
          <w:p w14:paraId="018F2EFE">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6.6</w:t>
            </w:r>
          </w:p>
        </w:tc>
        <w:tc>
          <w:tcPr>
            <w:tcW w:w="580" w:type="dxa"/>
            <w:tcBorders>
              <w:top w:val="nil"/>
              <w:left w:val="nil"/>
              <w:bottom w:val="single" w:color="auto" w:sz="4" w:space="0"/>
              <w:right w:val="single" w:color="auto" w:sz="4" w:space="0"/>
            </w:tcBorders>
            <w:shd w:val="clear" w:color="000000" w:fill="FFFFFF"/>
            <w:vAlign w:val="center"/>
          </w:tcPr>
          <w:p w14:paraId="778141F1">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2.4</w:t>
            </w:r>
          </w:p>
        </w:tc>
        <w:tc>
          <w:tcPr>
            <w:tcW w:w="1120" w:type="dxa"/>
            <w:tcBorders>
              <w:top w:val="nil"/>
              <w:left w:val="nil"/>
              <w:bottom w:val="single" w:color="auto" w:sz="4" w:space="0"/>
              <w:right w:val="single" w:color="auto" w:sz="4" w:space="0"/>
            </w:tcBorders>
            <w:shd w:val="clear" w:color="000000" w:fill="FFFFFF"/>
            <w:vAlign w:val="center"/>
          </w:tcPr>
          <w:p w14:paraId="71199C17">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54</w:t>
            </w:r>
          </w:p>
        </w:tc>
        <w:tc>
          <w:tcPr>
            <w:tcW w:w="940" w:type="dxa"/>
            <w:tcBorders>
              <w:top w:val="nil"/>
              <w:left w:val="nil"/>
              <w:bottom w:val="single" w:color="auto" w:sz="4" w:space="0"/>
              <w:right w:val="single" w:color="auto" w:sz="4" w:space="0"/>
            </w:tcBorders>
            <w:shd w:val="clear" w:color="000000" w:fill="FFFFFF"/>
            <w:noWrap/>
            <w:vAlign w:val="center"/>
          </w:tcPr>
          <w:p w14:paraId="35227580">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712.80 </w:t>
            </w:r>
          </w:p>
        </w:tc>
        <w:tc>
          <w:tcPr>
            <w:tcW w:w="1780" w:type="dxa"/>
            <w:tcBorders>
              <w:top w:val="nil"/>
              <w:left w:val="nil"/>
              <w:bottom w:val="single" w:color="auto" w:sz="4" w:space="0"/>
              <w:right w:val="single" w:color="auto" w:sz="4" w:space="0"/>
            </w:tcBorders>
            <w:shd w:val="clear" w:color="000000" w:fill="FFFFFF"/>
            <w:vAlign w:val="center"/>
          </w:tcPr>
          <w:p w14:paraId="79814567">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折皱比例1:2.0</w:t>
            </w:r>
          </w:p>
        </w:tc>
      </w:tr>
      <w:tr w14:paraId="6351174F">
        <w:tblPrEx>
          <w:tblCellMar>
            <w:top w:w="0" w:type="dxa"/>
            <w:left w:w="108" w:type="dxa"/>
            <w:bottom w:w="0" w:type="dxa"/>
            <w:right w:w="108" w:type="dxa"/>
          </w:tblCellMar>
        </w:tblPrEx>
        <w:trPr>
          <w:trHeight w:val="342" w:hRule="atLeast"/>
        </w:trPr>
        <w:tc>
          <w:tcPr>
            <w:tcW w:w="4220" w:type="dxa"/>
            <w:tcBorders>
              <w:top w:val="single" w:color="auto" w:sz="4" w:space="0"/>
              <w:left w:val="single" w:color="auto" w:sz="4" w:space="0"/>
              <w:bottom w:val="single" w:color="auto" w:sz="4" w:space="0"/>
              <w:right w:val="single" w:color="auto" w:sz="4" w:space="0"/>
            </w:tcBorders>
            <w:shd w:val="clear" w:color="000000" w:fill="FFFFFF"/>
            <w:vAlign w:val="center"/>
          </w:tcPr>
          <w:p w14:paraId="2E2CB9DF">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铝合金专用隔帘轨道</w:t>
            </w:r>
          </w:p>
        </w:tc>
        <w:tc>
          <w:tcPr>
            <w:tcW w:w="700" w:type="dxa"/>
            <w:tcBorders>
              <w:top w:val="nil"/>
              <w:left w:val="nil"/>
              <w:bottom w:val="single" w:color="auto" w:sz="4" w:space="0"/>
              <w:right w:val="single" w:color="auto" w:sz="4" w:space="0"/>
            </w:tcBorders>
            <w:shd w:val="clear" w:color="000000" w:fill="FFFFFF"/>
            <w:vAlign w:val="center"/>
          </w:tcPr>
          <w:p w14:paraId="77D038EC">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米</w:t>
            </w:r>
          </w:p>
        </w:tc>
        <w:tc>
          <w:tcPr>
            <w:tcW w:w="580" w:type="dxa"/>
            <w:tcBorders>
              <w:top w:val="nil"/>
              <w:left w:val="nil"/>
              <w:bottom w:val="single" w:color="auto" w:sz="4" w:space="0"/>
              <w:right w:val="single" w:color="auto" w:sz="4" w:space="0"/>
            </w:tcBorders>
            <w:shd w:val="clear" w:color="000000" w:fill="FFFFFF"/>
            <w:vAlign w:val="center"/>
          </w:tcPr>
          <w:p w14:paraId="49F20185">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6.6</w:t>
            </w:r>
          </w:p>
        </w:tc>
        <w:tc>
          <w:tcPr>
            <w:tcW w:w="580" w:type="dxa"/>
            <w:tcBorders>
              <w:top w:val="nil"/>
              <w:left w:val="nil"/>
              <w:bottom w:val="single" w:color="auto" w:sz="4" w:space="0"/>
              <w:right w:val="single" w:color="auto" w:sz="4" w:space="0"/>
            </w:tcBorders>
            <w:shd w:val="clear" w:color="000000" w:fill="FFFFFF"/>
            <w:vAlign w:val="center"/>
          </w:tcPr>
          <w:p w14:paraId="35016DB6">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c>
          <w:tcPr>
            <w:tcW w:w="1120" w:type="dxa"/>
            <w:tcBorders>
              <w:top w:val="nil"/>
              <w:left w:val="nil"/>
              <w:bottom w:val="single" w:color="auto" w:sz="4" w:space="0"/>
              <w:right w:val="single" w:color="auto" w:sz="4" w:space="0"/>
            </w:tcBorders>
            <w:shd w:val="clear" w:color="000000" w:fill="FFFFFF"/>
            <w:vAlign w:val="center"/>
          </w:tcPr>
          <w:p w14:paraId="6DC8835A">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54</w:t>
            </w:r>
          </w:p>
        </w:tc>
        <w:tc>
          <w:tcPr>
            <w:tcW w:w="940" w:type="dxa"/>
            <w:tcBorders>
              <w:top w:val="nil"/>
              <w:left w:val="nil"/>
              <w:bottom w:val="single" w:color="auto" w:sz="4" w:space="0"/>
              <w:right w:val="single" w:color="auto" w:sz="4" w:space="0"/>
            </w:tcBorders>
            <w:shd w:val="clear" w:color="000000" w:fill="FFFFFF"/>
            <w:noWrap/>
            <w:vAlign w:val="center"/>
          </w:tcPr>
          <w:p w14:paraId="3BCE511A">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356.40 </w:t>
            </w:r>
          </w:p>
        </w:tc>
        <w:tc>
          <w:tcPr>
            <w:tcW w:w="1780" w:type="dxa"/>
            <w:tcBorders>
              <w:top w:val="nil"/>
              <w:left w:val="nil"/>
              <w:bottom w:val="single" w:color="auto" w:sz="4" w:space="0"/>
              <w:right w:val="single" w:color="auto" w:sz="4" w:space="0"/>
            </w:tcBorders>
            <w:shd w:val="clear" w:color="000000" w:fill="FFFFFF"/>
            <w:vAlign w:val="center"/>
          </w:tcPr>
          <w:p w14:paraId="6B98FEAA">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r>
      <w:tr w14:paraId="0FBDB21E">
        <w:tblPrEx>
          <w:tblCellMar>
            <w:top w:w="0" w:type="dxa"/>
            <w:left w:w="108" w:type="dxa"/>
            <w:bottom w:w="0" w:type="dxa"/>
            <w:right w:w="108" w:type="dxa"/>
          </w:tblCellMar>
        </w:tblPrEx>
        <w:trPr>
          <w:trHeight w:val="342" w:hRule="atLeast"/>
        </w:trPr>
        <w:tc>
          <w:tcPr>
            <w:tcW w:w="4220" w:type="dxa"/>
            <w:tcBorders>
              <w:top w:val="single" w:color="auto" w:sz="4" w:space="0"/>
              <w:left w:val="single" w:color="auto" w:sz="4" w:space="0"/>
              <w:bottom w:val="single" w:color="auto" w:sz="4" w:space="0"/>
              <w:right w:val="single" w:color="auto" w:sz="4" w:space="0"/>
            </w:tcBorders>
            <w:shd w:val="clear" w:color="000000" w:fill="FFFFFF"/>
            <w:vAlign w:val="center"/>
          </w:tcPr>
          <w:p w14:paraId="0F3D059F">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布头带（含加工费消毒定型）配套钩子</w:t>
            </w:r>
          </w:p>
        </w:tc>
        <w:tc>
          <w:tcPr>
            <w:tcW w:w="700" w:type="dxa"/>
            <w:tcBorders>
              <w:top w:val="nil"/>
              <w:left w:val="nil"/>
              <w:bottom w:val="single" w:color="auto" w:sz="4" w:space="0"/>
              <w:right w:val="single" w:color="auto" w:sz="4" w:space="0"/>
            </w:tcBorders>
            <w:shd w:val="clear" w:color="000000" w:fill="FFFFFF"/>
            <w:vAlign w:val="center"/>
          </w:tcPr>
          <w:p w14:paraId="7D5F2C8A">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米</w:t>
            </w:r>
          </w:p>
        </w:tc>
        <w:tc>
          <w:tcPr>
            <w:tcW w:w="580" w:type="dxa"/>
            <w:tcBorders>
              <w:top w:val="nil"/>
              <w:left w:val="nil"/>
              <w:bottom w:val="single" w:color="auto" w:sz="4" w:space="0"/>
              <w:right w:val="single" w:color="auto" w:sz="4" w:space="0"/>
            </w:tcBorders>
            <w:shd w:val="clear" w:color="000000" w:fill="FFFFFF"/>
            <w:vAlign w:val="center"/>
          </w:tcPr>
          <w:p w14:paraId="19D3A4DE">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6.6</w:t>
            </w:r>
          </w:p>
        </w:tc>
        <w:tc>
          <w:tcPr>
            <w:tcW w:w="580" w:type="dxa"/>
            <w:tcBorders>
              <w:top w:val="nil"/>
              <w:left w:val="nil"/>
              <w:bottom w:val="single" w:color="auto" w:sz="4" w:space="0"/>
              <w:right w:val="single" w:color="auto" w:sz="4" w:space="0"/>
            </w:tcBorders>
            <w:shd w:val="clear" w:color="000000" w:fill="FFFFFF"/>
            <w:vAlign w:val="center"/>
          </w:tcPr>
          <w:p w14:paraId="25B311A2">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c>
          <w:tcPr>
            <w:tcW w:w="1120" w:type="dxa"/>
            <w:tcBorders>
              <w:top w:val="nil"/>
              <w:left w:val="nil"/>
              <w:bottom w:val="single" w:color="auto" w:sz="4" w:space="0"/>
              <w:right w:val="single" w:color="auto" w:sz="4" w:space="0"/>
            </w:tcBorders>
            <w:shd w:val="clear" w:color="000000" w:fill="FFFFFF"/>
            <w:vAlign w:val="center"/>
          </w:tcPr>
          <w:p w14:paraId="58C08D16">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54</w:t>
            </w:r>
          </w:p>
        </w:tc>
        <w:tc>
          <w:tcPr>
            <w:tcW w:w="940" w:type="dxa"/>
            <w:tcBorders>
              <w:top w:val="nil"/>
              <w:left w:val="nil"/>
              <w:bottom w:val="single" w:color="auto" w:sz="4" w:space="0"/>
              <w:right w:val="single" w:color="auto" w:sz="4" w:space="0"/>
            </w:tcBorders>
            <w:shd w:val="clear" w:color="000000" w:fill="FFFFFF"/>
            <w:noWrap/>
            <w:vAlign w:val="center"/>
          </w:tcPr>
          <w:p w14:paraId="155A45CD">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712.80 </w:t>
            </w:r>
          </w:p>
        </w:tc>
        <w:tc>
          <w:tcPr>
            <w:tcW w:w="1780" w:type="dxa"/>
            <w:tcBorders>
              <w:top w:val="nil"/>
              <w:left w:val="nil"/>
              <w:bottom w:val="single" w:color="auto" w:sz="4" w:space="0"/>
              <w:right w:val="single" w:color="auto" w:sz="4" w:space="0"/>
            </w:tcBorders>
            <w:shd w:val="clear" w:color="000000" w:fill="FFFFFF"/>
            <w:vAlign w:val="center"/>
          </w:tcPr>
          <w:p w14:paraId="13D3BC6E">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r>
      <w:tr w14:paraId="528D4FC7">
        <w:tblPrEx>
          <w:tblCellMar>
            <w:top w:w="0" w:type="dxa"/>
            <w:left w:w="108" w:type="dxa"/>
            <w:bottom w:w="0" w:type="dxa"/>
            <w:right w:w="108" w:type="dxa"/>
          </w:tblCellMar>
        </w:tblPrEx>
        <w:trPr>
          <w:trHeight w:val="600" w:hRule="atLeast"/>
        </w:trPr>
        <w:tc>
          <w:tcPr>
            <w:tcW w:w="4220" w:type="dxa"/>
            <w:tcBorders>
              <w:top w:val="single" w:color="auto" w:sz="4" w:space="0"/>
              <w:left w:val="single" w:color="auto" w:sz="4" w:space="0"/>
              <w:bottom w:val="single" w:color="auto" w:sz="4" w:space="0"/>
              <w:right w:val="single" w:color="auto" w:sz="4" w:space="0"/>
            </w:tcBorders>
            <w:shd w:val="clear" w:color="000000" w:fill="FFFFFF"/>
            <w:vAlign w:val="center"/>
          </w:tcPr>
          <w:p w14:paraId="420B9F54">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专用隔帘轨道吊杆（含固定配件）</w:t>
            </w:r>
          </w:p>
        </w:tc>
        <w:tc>
          <w:tcPr>
            <w:tcW w:w="700" w:type="dxa"/>
            <w:tcBorders>
              <w:top w:val="nil"/>
              <w:left w:val="nil"/>
              <w:bottom w:val="single" w:color="auto" w:sz="4" w:space="0"/>
              <w:right w:val="single" w:color="auto" w:sz="4" w:space="0"/>
            </w:tcBorders>
            <w:shd w:val="clear" w:color="000000" w:fill="FFFFFF"/>
            <w:vAlign w:val="center"/>
          </w:tcPr>
          <w:p w14:paraId="0F48ECA3">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套</w:t>
            </w:r>
          </w:p>
        </w:tc>
        <w:tc>
          <w:tcPr>
            <w:tcW w:w="580" w:type="dxa"/>
            <w:tcBorders>
              <w:top w:val="nil"/>
              <w:left w:val="nil"/>
              <w:bottom w:val="single" w:color="auto" w:sz="4" w:space="0"/>
              <w:right w:val="single" w:color="auto" w:sz="4" w:space="0"/>
            </w:tcBorders>
            <w:shd w:val="clear" w:color="000000" w:fill="FFFFFF"/>
            <w:vAlign w:val="center"/>
          </w:tcPr>
          <w:p w14:paraId="1CC984C3">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c>
          <w:tcPr>
            <w:tcW w:w="580" w:type="dxa"/>
            <w:tcBorders>
              <w:top w:val="nil"/>
              <w:left w:val="nil"/>
              <w:bottom w:val="single" w:color="auto" w:sz="4" w:space="0"/>
              <w:right w:val="single" w:color="auto" w:sz="4" w:space="0"/>
            </w:tcBorders>
            <w:shd w:val="clear" w:color="000000" w:fill="FFFFFF"/>
            <w:vAlign w:val="center"/>
          </w:tcPr>
          <w:p w14:paraId="705F151B">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　</w:t>
            </w:r>
          </w:p>
        </w:tc>
        <w:tc>
          <w:tcPr>
            <w:tcW w:w="1120" w:type="dxa"/>
            <w:tcBorders>
              <w:top w:val="nil"/>
              <w:left w:val="nil"/>
              <w:bottom w:val="single" w:color="auto" w:sz="4" w:space="0"/>
              <w:right w:val="single" w:color="auto" w:sz="4" w:space="0"/>
            </w:tcBorders>
            <w:shd w:val="clear" w:color="000000" w:fill="FFFFFF"/>
            <w:vAlign w:val="center"/>
          </w:tcPr>
          <w:p w14:paraId="730853F0">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648</w:t>
            </w:r>
          </w:p>
        </w:tc>
        <w:tc>
          <w:tcPr>
            <w:tcW w:w="940" w:type="dxa"/>
            <w:tcBorders>
              <w:top w:val="nil"/>
              <w:left w:val="nil"/>
              <w:bottom w:val="single" w:color="auto" w:sz="4" w:space="0"/>
              <w:right w:val="single" w:color="auto" w:sz="4" w:space="0"/>
            </w:tcBorders>
            <w:shd w:val="clear" w:color="000000" w:fill="FFFFFF"/>
            <w:noWrap/>
            <w:vAlign w:val="center"/>
          </w:tcPr>
          <w:p w14:paraId="12A9952D">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648.00 </w:t>
            </w:r>
          </w:p>
        </w:tc>
        <w:tc>
          <w:tcPr>
            <w:tcW w:w="1780" w:type="dxa"/>
            <w:tcBorders>
              <w:top w:val="nil"/>
              <w:left w:val="nil"/>
              <w:bottom w:val="single" w:color="auto" w:sz="4" w:space="0"/>
              <w:right w:val="single" w:color="auto" w:sz="4" w:space="0"/>
            </w:tcBorders>
            <w:shd w:val="clear" w:color="000000" w:fill="FFFFFF"/>
            <w:vAlign w:val="center"/>
          </w:tcPr>
          <w:p w14:paraId="2DDE81DB">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规格1米长每套</w:t>
            </w:r>
          </w:p>
        </w:tc>
      </w:tr>
    </w:tbl>
    <w:p w14:paraId="3AB29FE6">
      <w:pPr>
        <w:pStyle w:val="11"/>
        <w:numPr>
          <w:ilvl w:val="0"/>
          <w:numId w:val="2"/>
        </w:numPr>
        <w:ind w:firstLineChars="0"/>
        <w:rPr>
          <w:sz w:val="24"/>
        </w:rPr>
      </w:pPr>
      <w:r>
        <w:rPr>
          <w:rFonts w:hint="eastAsia"/>
          <w:sz w:val="24"/>
        </w:rPr>
        <w:t>项目背景：</w:t>
      </w:r>
      <w:bookmarkStart w:id="0" w:name="OLE_LINK1"/>
      <w:r>
        <w:rPr>
          <w:rFonts w:hint="eastAsia"/>
        </w:rPr>
        <w:t>南方医科大学中西医结合医院1</w:t>
      </w:r>
      <w:r>
        <w:t>2</w:t>
      </w:r>
      <w:r>
        <w:rPr>
          <w:rFonts w:hint="eastAsia"/>
        </w:rPr>
        <w:t>号楼1楼国家中医药适宜技术研究推广中心采购安装床帘5</w:t>
      </w:r>
      <w:r>
        <w:t>4</w:t>
      </w:r>
      <w:r>
        <w:rPr>
          <w:rFonts w:hint="eastAsia"/>
        </w:rPr>
        <w:t>套</w:t>
      </w:r>
    </w:p>
    <w:bookmarkEnd w:id="0"/>
    <w:p w14:paraId="75F1FF9C">
      <w:pPr>
        <w:pStyle w:val="11"/>
        <w:numPr>
          <w:ilvl w:val="0"/>
          <w:numId w:val="2"/>
        </w:numPr>
        <w:ind w:firstLineChars="0"/>
        <w:rPr>
          <w:sz w:val="24"/>
        </w:rPr>
      </w:pPr>
      <w:r>
        <w:rPr>
          <w:sz w:val="24"/>
        </w:rPr>
        <w:t xml:space="preserve"> </w:t>
      </w:r>
      <w:r>
        <w:rPr>
          <w:rFonts w:hint="eastAsia" w:ascii="宋体" w:hAnsi="宋体" w:eastAsia="宋体" w:cs="宋体"/>
          <w:sz w:val="24"/>
        </w:rPr>
        <w:t>主要技术参数要求</w:t>
      </w:r>
    </w:p>
    <w:tbl>
      <w:tblPr>
        <w:tblStyle w:val="7"/>
        <w:tblpPr w:leftFromText="180" w:rightFromText="180" w:vertAnchor="text" w:horzAnchor="page" w:tblpX="1656" w:tblpY="67"/>
        <w:tblOverlap w:val="never"/>
        <w:tblW w:w="9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1073"/>
        <w:gridCol w:w="7127"/>
      </w:tblGrid>
      <w:tr w14:paraId="077B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838" w:type="dxa"/>
            <w:vAlign w:val="center"/>
          </w:tcPr>
          <w:p w14:paraId="5D26ABAB">
            <w:pPr>
              <w:jc w:val="center"/>
              <w:rPr>
                <w:rFonts w:ascii="宋体" w:hAnsi="宋体" w:cs="宋体"/>
                <w:b/>
                <w:color w:val="000000"/>
                <w:szCs w:val="21"/>
              </w:rPr>
            </w:pPr>
            <w:r>
              <w:rPr>
                <w:rFonts w:hint="eastAsia" w:ascii="宋体" w:hAnsi="宋体" w:cs="宋体"/>
                <w:b/>
                <w:color w:val="000000"/>
                <w:kern w:val="0"/>
                <w:szCs w:val="21"/>
                <w:lang w:bidi="ar"/>
              </w:rPr>
              <w:t>序号</w:t>
            </w:r>
          </w:p>
        </w:tc>
        <w:tc>
          <w:tcPr>
            <w:tcW w:w="1073" w:type="dxa"/>
            <w:vAlign w:val="center"/>
          </w:tcPr>
          <w:p w14:paraId="7B70691F">
            <w:pPr>
              <w:jc w:val="center"/>
              <w:rPr>
                <w:rFonts w:ascii="宋体" w:hAnsi="宋体" w:cs="宋体"/>
                <w:b/>
                <w:color w:val="000000"/>
                <w:szCs w:val="21"/>
              </w:rPr>
            </w:pPr>
            <w:r>
              <w:rPr>
                <w:rFonts w:hint="eastAsia" w:ascii="宋体" w:hAnsi="宋体" w:cs="宋体"/>
                <w:b/>
                <w:color w:val="000000"/>
                <w:kern w:val="0"/>
                <w:szCs w:val="21"/>
                <w:lang w:bidi="ar"/>
              </w:rPr>
              <w:t>货物名称</w:t>
            </w:r>
          </w:p>
        </w:tc>
        <w:tc>
          <w:tcPr>
            <w:tcW w:w="7127" w:type="dxa"/>
            <w:vAlign w:val="center"/>
          </w:tcPr>
          <w:p w14:paraId="0EE3DE36">
            <w:pPr>
              <w:ind w:firstLine="2108" w:firstLineChars="1000"/>
              <w:rPr>
                <w:rFonts w:ascii="宋体" w:hAnsi="宋体" w:cs="宋体"/>
                <w:b/>
                <w:color w:val="000000"/>
                <w:szCs w:val="21"/>
              </w:rPr>
            </w:pPr>
            <w:r>
              <w:rPr>
                <w:rFonts w:hint="eastAsia" w:ascii="宋体" w:hAnsi="宋体" w:cs="宋体"/>
                <w:b/>
                <w:color w:val="000000"/>
                <w:kern w:val="0"/>
                <w:szCs w:val="21"/>
                <w:lang w:bidi="ar"/>
              </w:rPr>
              <w:t>技术参数要求</w:t>
            </w:r>
          </w:p>
        </w:tc>
      </w:tr>
      <w:tr w14:paraId="03E74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8" w:type="dxa"/>
            <w:vMerge w:val="restart"/>
            <w:vAlign w:val="center"/>
          </w:tcPr>
          <w:p w14:paraId="4A6F4251">
            <w:pPr>
              <w:widowControl/>
              <w:jc w:val="center"/>
              <w:rPr>
                <w:rFonts w:ascii="宋体" w:hAnsi="宋体" w:cs="宋体"/>
                <w:bCs/>
                <w:color w:val="000000"/>
                <w:szCs w:val="21"/>
              </w:rPr>
            </w:pPr>
          </w:p>
          <w:p w14:paraId="73422D23">
            <w:pPr>
              <w:widowControl/>
              <w:jc w:val="center"/>
              <w:rPr>
                <w:rFonts w:ascii="宋体" w:hAnsi="宋体" w:cs="宋体"/>
                <w:bCs/>
                <w:color w:val="000000"/>
                <w:szCs w:val="21"/>
              </w:rPr>
            </w:pPr>
          </w:p>
          <w:p w14:paraId="4C1F5097">
            <w:pPr>
              <w:widowControl/>
              <w:jc w:val="center"/>
              <w:rPr>
                <w:rFonts w:ascii="宋体" w:hAnsi="宋体" w:cs="宋体"/>
                <w:bCs/>
                <w:color w:val="000000"/>
                <w:szCs w:val="21"/>
              </w:rPr>
            </w:pPr>
          </w:p>
          <w:p w14:paraId="375633B1">
            <w:pPr>
              <w:widowControl/>
              <w:jc w:val="center"/>
              <w:rPr>
                <w:rFonts w:ascii="宋体" w:hAnsi="宋体" w:cs="宋体"/>
                <w:bCs/>
                <w:color w:val="000000"/>
                <w:szCs w:val="21"/>
              </w:rPr>
            </w:pPr>
          </w:p>
          <w:p w14:paraId="5C396A33">
            <w:pPr>
              <w:widowControl/>
              <w:jc w:val="center"/>
              <w:rPr>
                <w:rFonts w:ascii="宋体" w:hAnsi="宋体" w:cs="宋体"/>
                <w:bCs/>
                <w:color w:val="000000"/>
                <w:szCs w:val="21"/>
              </w:rPr>
            </w:pPr>
          </w:p>
          <w:p w14:paraId="397A921D">
            <w:pPr>
              <w:widowControl/>
              <w:jc w:val="center"/>
              <w:rPr>
                <w:rFonts w:ascii="宋体" w:hAnsi="宋体" w:cs="宋体"/>
                <w:bCs/>
                <w:color w:val="000000"/>
                <w:szCs w:val="21"/>
              </w:rPr>
            </w:pPr>
          </w:p>
          <w:p w14:paraId="452238CC">
            <w:pPr>
              <w:widowControl/>
              <w:jc w:val="center"/>
              <w:rPr>
                <w:rFonts w:ascii="宋体" w:hAnsi="宋体" w:cs="宋体"/>
                <w:bCs/>
                <w:color w:val="000000"/>
                <w:szCs w:val="21"/>
              </w:rPr>
            </w:pPr>
          </w:p>
          <w:p w14:paraId="52E6ED36">
            <w:pPr>
              <w:widowControl/>
              <w:jc w:val="center"/>
              <w:rPr>
                <w:rFonts w:ascii="宋体" w:hAnsi="宋体" w:cs="宋体"/>
                <w:bCs/>
                <w:color w:val="000000"/>
                <w:szCs w:val="21"/>
              </w:rPr>
            </w:pPr>
          </w:p>
          <w:p w14:paraId="1D4A08E8">
            <w:pPr>
              <w:widowControl/>
              <w:jc w:val="center"/>
              <w:rPr>
                <w:rFonts w:ascii="宋体" w:hAnsi="宋体" w:cs="宋体"/>
                <w:bCs/>
                <w:color w:val="000000"/>
                <w:szCs w:val="21"/>
              </w:rPr>
            </w:pPr>
          </w:p>
          <w:p w14:paraId="6A0AAFE8">
            <w:pPr>
              <w:widowControl/>
              <w:jc w:val="center"/>
              <w:rPr>
                <w:rFonts w:ascii="宋体" w:hAnsi="宋体" w:cs="宋体"/>
                <w:bCs/>
                <w:color w:val="000000"/>
                <w:szCs w:val="21"/>
              </w:rPr>
            </w:pPr>
          </w:p>
          <w:p w14:paraId="0B5D8538">
            <w:pPr>
              <w:widowControl/>
              <w:jc w:val="center"/>
              <w:rPr>
                <w:rFonts w:ascii="宋体" w:hAnsi="宋体" w:cs="宋体"/>
                <w:bCs/>
                <w:color w:val="000000"/>
                <w:szCs w:val="21"/>
              </w:rPr>
            </w:pPr>
          </w:p>
          <w:p w14:paraId="0E6C2BE1">
            <w:pPr>
              <w:widowControl/>
              <w:jc w:val="center"/>
              <w:rPr>
                <w:rFonts w:ascii="宋体" w:hAnsi="宋体" w:cs="宋体"/>
                <w:bCs/>
                <w:color w:val="000000"/>
                <w:szCs w:val="21"/>
              </w:rPr>
            </w:pPr>
          </w:p>
          <w:p w14:paraId="5AFF8FD0">
            <w:pPr>
              <w:widowControl/>
              <w:jc w:val="center"/>
              <w:rPr>
                <w:rFonts w:ascii="宋体" w:hAnsi="宋体" w:cs="宋体"/>
                <w:bCs/>
                <w:color w:val="000000"/>
                <w:szCs w:val="21"/>
              </w:rPr>
            </w:pPr>
          </w:p>
          <w:p w14:paraId="2BE3C5C2">
            <w:pPr>
              <w:widowControl/>
              <w:jc w:val="center"/>
              <w:rPr>
                <w:rFonts w:ascii="宋体" w:hAnsi="宋体" w:cs="宋体"/>
                <w:bCs/>
                <w:color w:val="000000"/>
                <w:szCs w:val="21"/>
              </w:rPr>
            </w:pPr>
          </w:p>
          <w:p w14:paraId="4A54B343">
            <w:pPr>
              <w:widowControl/>
              <w:jc w:val="center"/>
              <w:rPr>
                <w:rFonts w:ascii="宋体" w:hAnsi="宋体" w:cs="宋体"/>
                <w:bCs/>
                <w:color w:val="000000"/>
                <w:szCs w:val="21"/>
              </w:rPr>
            </w:pPr>
          </w:p>
          <w:p w14:paraId="732E0A55">
            <w:pPr>
              <w:widowControl/>
              <w:jc w:val="center"/>
              <w:rPr>
                <w:rFonts w:ascii="宋体" w:hAnsi="宋体" w:cs="宋体"/>
                <w:bCs/>
                <w:color w:val="000000"/>
                <w:szCs w:val="21"/>
              </w:rPr>
            </w:pPr>
          </w:p>
          <w:p w14:paraId="59215580">
            <w:pPr>
              <w:widowControl/>
              <w:jc w:val="center"/>
              <w:rPr>
                <w:rFonts w:ascii="宋体" w:hAnsi="宋体" w:cs="宋体"/>
                <w:bCs/>
                <w:color w:val="000000"/>
                <w:szCs w:val="21"/>
              </w:rPr>
            </w:pPr>
          </w:p>
          <w:p w14:paraId="7400C5CD">
            <w:pPr>
              <w:widowControl/>
              <w:jc w:val="center"/>
              <w:rPr>
                <w:rFonts w:ascii="宋体" w:hAnsi="宋体" w:cs="宋体"/>
                <w:bCs/>
                <w:color w:val="000000"/>
                <w:szCs w:val="21"/>
              </w:rPr>
            </w:pPr>
          </w:p>
          <w:p w14:paraId="0D7275B8">
            <w:pPr>
              <w:widowControl/>
              <w:jc w:val="center"/>
              <w:rPr>
                <w:rFonts w:ascii="宋体" w:hAnsi="宋体" w:cs="宋体"/>
                <w:bCs/>
                <w:color w:val="000000"/>
                <w:szCs w:val="21"/>
              </w:rPr>
            </w:pPr>
          </w:p>
          <w:p w14:paraId="4FC79D5D">
            <w:pPr>
              <w:widowControl/>
              <w:jc w:val="center"/>
              <w:rPr>
                <w:rFonts w:ascii="宋体" w:hAnsi="宋体" w:cs="宋体"/>
                <w:bCs/>
                <w:color w:val="000000"/>
                <w:szCs w:val="21"/>
              </w:rPr>
            </w:pPr>
          </w:p>
          <w:p w14:paraId="35734731">
            <w:pPr>
              <w:widowControl/>
              <w:jc w:val="center"/>
              <w:rPr>
                <w:rFonts w:ascii="宋体" w:hAnsi="宋体" w:cs="宋体"/>
                <w:bCs/>
                <w:color w:val="000000"/>
                <w:szCs w:val="21"/>
              </w:rPr>
            </w:pPr>
          </w:p>
          <w:p w14:paraId="78270D61">
            <w:pPr>
              <w:widowControl/>
              <w:jc w:val="center"/>
              <w:rPr>
                <w:rFonts w:ascii="宋体" w:hAnsi="宋体" w:cs="宋体"/>
                <w:bCs/>
                <w:color w:val="000000"/>
                <w:szCs w:val="21"/>
              </w:rPr>
            </w:pPr>
          </w:p>
          <w:p w14:paraId="0FC96A64">
            <w:pPr>
              <w:widowControl/>
              <w:jc w:val="center"/>
              <w:rPr>
                <w:rFonts w:ascii="宋体" w:hAnsi="宋体" w:cs="宋体"/>
                <w:bCs/>
                <w:color w:val="000000"/>
                <w:szCs w:val="21"/>
              </w:rPr>
            </w:pPr>
          </w:p>
          <w:p w14:paraId="47304133">
            <w:pPr>
              <w:widowControl/>
              <w:jc w:val="center"/>
              <w:rPr>
                <w:rFonts w:ascii="宋体" w:hAnsi="宋体" w:cs="宋体"/>
                <w:bCs/>
                <w:color w:val="000000"/>
                <w:szCs w:val="21"/>
              </w:rPr>
            </w:pPr>
          </w:p>
          <w:p w14:paraId="630AA49C">
            <w:pPr>
              <w:widowControl/>
              <w:jc w:val="center"/>
              <w:rPr>
                <w:rFonts w:ascii="宋体" w:hAnsi="宋体" w:cs="宋体"/>
                <w:bCs/>
                <w:color w:val="000000"/>
                <w:szCs w:val="21"/>
              </w:rPr>
            </w:pPr>
          </w:p>
          <w:p w14:paraId="062FFFD5">
            <w:pPr>
              <w:widowControl/>
              <w:jc w:val="center"/>
              <w:rPr>
                <w:rFonts w:ascii="宋体" w:hAnsi="宋体" w:cs="宋体"/>
                <w:bCs/>
                <w:color w:val="000000"/>
                <w:szCs w:val="21"/>
              </w:rPr>
            </w:pPr>
          </w:p>
          <w:p w14:paraId="098C6D45">
            <w:pPr>
              <w:widowControl/>
              <w:jc w:val="center"/>
              <w:rPr>
                <w:rFonts w:ascii="宋体" w:hAnsi="宋体" w:cs="宋体"/>
                <w:bCs/>
                <w:color w:val="000000"/>
                <w:szCs w:val="21"/>
              </w:rPr>
            </w:pPr>
          </w:p>
          <w:p w14:paraId="6112A3A6">
            <w:pPr>
              <w:widowControl/>
              <w:jc w:val="center"/>
              <w:rPr>
                <w:rFonts w:ascii="宋体" w:hAnsi="宋体" w:cs="宋体"/>
                <w:bCs/>
                <w:color w:val="000000"/>
                <w:szCs w:val="21"/>
              </w:rPr>
            </w:pPr>
          </w:p>
          <w:p w14:paraId="01564FD6">
            <w:pPr>
              <w:widowControl/>
              <w:jc w:val="center"/>
              <w:rPr>
                <w:rFonts w:ascii="宋体" w:hAnsi="宋体" w:cs="宋体"/>
                <w:bCs/>
                <w:color w:val="000000"/>
                <w:szCs w:val="21"/>
              </w:rPr>
            </w:pPr>
          </w:p>
          <w:p w14:paraId="70B24CAC">
            <w:pPr>
              <w:widowControl/>
              <w:jc w:val="center"/>
              <w:rPr>
                <w:rFonts w:ascii="宋体" w:hAnsi="宋体" w:cs="宋体"/>
                <w:bCs/>
                <w:color w:val="000000"/>
                <w:szCs w:val="21"/>
              </w:rPr>
            </w:pPr>
          </w:p>
          <w:p w14:paraId="7C39A88B">
            <w:pPr>
              <w:widowControl/>
              <w:jc w:val="center"/>
              <w:rPr>
                <w:rFonts w:ascii="宋体" w:hAnsi="宋体" w:cs="宋体"/>
                <w:bCs/>
                <w:color w:val="000000"/>
                <w:szCs w:val="21"/>
              </w:rPr>
            </w:pPr>
          </w:p>
          <w:p w14:paraId="6EF09AC3">
            <w:pPr>
              <w:widowControl/>
              <w:jc w:val="center"/>
              <w:rPr>
                <w:rFonts w:ascii="宋体" w:hAnsi="宋体" w:cs="宋体"/>
                <w:bCs/>
                <w:color w:val="000000"/>
                <w:szCs w:val="21"/>
              </w:rPr>
            </w:pPr>
          </w:p>
          <w:p w14:paraId="35A8EF10">
            <w:pPr>
              <w:widowControl/>
              <w:jc w:val="center"/>
              <w:rPr>
                <w:rFonts w:ascii="宋体" w:hAnsi="宋体" w:cs="宋体"/>
                <w:bCs/>
                <w:color w:val="000000"/>
                <w:szCs w:val="21"/>
              </w:rPr>
            </w:pPr>
          </w:p>
          <w:p w14:paraId="1AD01F7D">
            <w:pPr>
              <w:widowControl/>
              <w:jc w:val="center"/>
              <w:rPr>
                <w:rFonts w:ascii="宋体" w:hAnsi="宋体" w:cs="宋体"/>
                <w:bCs/>
                <w:color w:val="000000"/>
                <w:szCs w:val="21"/>
              </w:rPr>
            </w:pPr>
          </w:p>
          <w:p w14:paraId="744DEE7C">
            <w:pPr>
              <w:widowControl/>
              <w:jc w:val="center"/>
              <w:rPr>
                <w:rFonts w:ascii="宋体" w:hAnsi="宋体" w:cs="宋体"/>
                <w:bCs/>
                <w:color w:val="000000"/>
                <w:szCs w:val="21"/>
              </w:rPr>
            </w:pPr>
          </w:p>
          <w:p w14:paraId="11F4D1B8">
            <w:pPr>
              <w:widowControl/>
              <w:jc w:val="center"/>
              <w:rPr>
                <w:rFonts w:ascii="宋体" w:hAnsi="宋体" w:cs="宋体"/>
                <w:bCs/>
                <w:color w:val="000000"/>
                <w:szCs w:val="21"/>
              </w:rPr>
            </w:pPr>
          </w:p>
          <w:p w14:paraId="5DA1FCD3">
            <w:pPr>
              <w:widowControl/>
              <w:rPr>
                <w:rFonts w:ascii="宋体" w:hAnsi="宋体" w:cs="宋体"/>
                <w:bCs/>
                <w:color w:val="000000"/>
                <w:szCs w:val="21"/>
              </w:rPr>
            </w:pPr>
          </w:p>
          <w:p w14:paraId="0B1F33DE">
            <w:pPr>
              <w:widowControl/>
              <w:rPr>
                <w:rFonts w:ascii="宋体" w:hAnsi="宋体" w:cs="宋体"/>
                <w:bCs/>
                <w:color w:val="000000"/>
                <w:szCs w:val="21"/>
              </w:rPr>
            </w:pPr>
            <w:r>
              <w:rPr>
                <w:rFonts w:hint="eastAsia" w:ascii="宋体" w:hAnsi="宋体" w:cs="宋体"/>
                <w:bCs/>
                <w:color w:val="000000"/>
                <w:szCs w:val="21"/>
              </w:rPr>
              <w:t>1</w:t>
            </w:r>
          </w:p>
        </w:tc>
        <w:tc>
          <w:tcPr>
            <w:tcW w:w="1073" w:type="dxa"/>
            <w:vMerge w:val="restart"/>
            <w:vAlign w:val="center"/>
          </w:tcPr>
          <w:p w14:paraId="02A63E2A">
            <w:pPr>
              <w:jc w:val="center"/>
              <w:rPr>
                <w:rFonts w:ascii="宋体" w:hAnsi="宋体" w:cs="宋体"/>
                <w:bCs/>
                <w:color w:val="000000"/>
                <w:szCs w:val="21"/>
              </w:rPr>
            </w:pPr>
          </w:p>
          <w:p w14:paraId="2F3C8306">
            <w:pPr>
              <w:jc w:val="center"/>
              <w:rPr>
                <w:rFonts w:ascii="宋体" w:hAnsi="宋体" w:cs="宋体"/>
                <w:bCs/>
                <w:color w:val="000000"/>
                <w:szCs w:val="21"/>
              </w:rPr>
            </w:pPr>
          </w:p>
          <w:p w14:paraId="7E5218E5">
            <w:pPr>
              <w:jc w:val="center"/>
              <w:rPr>
                <w:rFonts w:ascii="宋体" w:hAnsi="宋体" w:cs="宋体"/>
                <w:bCs/>
                <w:color w:val="000000"/>
                <w:szCs w:val="21"/>
              </w:rPr>
            </w:pPr>
          </w:p>
          <w:p w14:paraId="58F8ECA6">
            <w:pPr>
              <w:jc w:val="center"/>
              <w:rPr>
                <w:rFonts w:ascii="宋体" w:hAnsi="宋体" w:cs="宋体"/>
                <w:bCs/>
                <w:color w:val="000000"/>
                <w:szCs w:val="21"/>
              </w:rPr>
            </w:pPr>
          </w:p>
          <w:p w14:paraId="41F6C18F">
            <w:pPr>
              <w:jc w:val="center"/>
              <w:rPr>
                <w:rFonts w:ascii="宋体" w:hAnsi="宋体" w:cs="宋体"/>
                <w:bCs/>
                <w:color w:val="000000"/>
                <w:szCs w:val="21"/>
              </w:rPr>
            </w:pPr>
          </w:p>
          <w:p w14:paraId="2AA6749C">
            <w:pPr>
              <w:jc w:val="center"/>
              <w:rPr>
                <w:rFonts w:ascii="宋体" w:hAnsi="宋体" w:cs="宋体"/>
                <w:bCs/>
                <w:color w:val="000000"/>
                <w:szCs w:val="21"/>
              </w:rPr>
            </w:pPr>
          </w:p>
          <w:p w14:paraId="39BEEABD">
            <w:pPr>
              <w:jc w:val="center"/>
              <w:rPr>
                <w:rFonts w:ascii="宋体" w:hAnsi="宋体" w:cs="宋体"/>
                <w:bCs/>
                <w:color w:val="000000"/>
                <w:szCs w:val="21"/>
              </w:rPr>
            </w:pPr>
          </w:p>
          <w:p w14:paraId="23E49B17">
            <w:pPr>
              <w:jc w:val="center"/>
              <w:rPr>
                <w:rFonts w:ascii="宋体" w:hAnsi="宋体" w:cs="宋体"/>
                <w:bCs/>
                <w:color w:val="000000"/>
                <w:szCs w:val="21"/>
              </w:rPr>
            </w:pPr>
          </w:p>
          <w:p w14:paraId="25DDAF0C">
            <w:pPr>
              <w:jc w:val="center"/>
              <w:rPr>
                <w:rFonts w:ascii="宋体" w:hAnsi="宋体" w:cs="宋体"/>
                <w:bCs/>
                <w:color w:val="000000"/>
                <w:szCs w:val="21"/>
              </w:rPr>
            </w:pPr>
          </w:p>
          <w:p w14:paraId="6F8B460A">
            <w:pPr>
              <w:jc w:val="center"/>
              <w:rPr>
                <w:rFonts w:ascii="宋体" w:hAnsi="宋体" w:cs="宋体"/>
                <w:bCs/>
                <w:color w:val="000000"/>
                <w:szCs w:val="21"/>
              </w:rPr>
            </w:pPr>
          </w:p>
          <w:p w14:paraId="0F6AFE56">
            <w:pPr>
              <w:jc w:val="center"/>
              <w:rPr>
                <w:rFonts w:ascii="宋体" w:hAnsi="宋体" w:cs="宋体"/>
                <w:bCs/>
                <w:color w:val="000000"/>
                <w:szCs w:val="21"/>
              </w:rPr>
            </w:pPr>
          </w:p>
          <w:p w14:paraId="0DF742C5">
            <w:pPr>
              <w:jc w:val="center"/>
              <w:rPr>
                <w:rFonts w:ascii="宋体" w:hAnsi="宋体" w:cs="宋体"/>
                <w:bCs/>
                <w:color w:val="000000"/>
                <w:szCs w:val="21"/>
              </w:rPr>
            </w:pPr>
          </w:p>
          <w:p w14:paraId="58453869">
            <w:pPr>
              <w:jc w:val="center"/>
              <w:rPr>
                <w:rFonts w:ascii="宋体" w:hAnsi="宋体" w:cs="宋体"/>
                <w:bCs/>
                <w:color w:val="000000"/>
                <w:szCs w:val="21"/>
              </w:rPr>
            </w:pPr>
          </w:p>
          <w:p w14:paraId="3E5CCBBE">
            <w:pPr>
              <w:jc w:val="center"/>
              <w:rPr>
                <w:rFonts w:ascii="宋体" w:hAnsi="宋体" w:cs="宋体"/>
                <w:bCs/>
                <w:color w:val="000000"/>
                <w:szCs w:val="21"/>
              </w:rPr>
            </w:pPr>
          </w:p>
          <w:p w14:paraId="01CB88B7">
            <w:pPr>
              <w:jc w:val="center"/>
              <w:rPr>
                <w:rFonts w:ascii="宋体" w:hAnsi="宋体" w:cs="宋体"/>
                <w:bCs/>
                <w:color w:val="000000"/>
                <w:szCs w:val="21"/>
              </w:rPr>
            </w:pPr>
          </w:p>
          <w:p w14:paraId="0BA7441F">
            <w:pPr>
              <w:jc w:val="center"/>
              <w:rPr>
                <w:rFonts w:ascii="宋体" w:hAnsi="宋体" w:cs="宋体"/>
                <w:bCs/>
                <w:color w:val="000000"/>
                <w:szCs w:val="21"/>
              </w:rPr>
            </w:pPr>
          </w:p>
          <w:p w14:paraId="450EB9D3">
            <w:pPr>
              <w:jc w:val="center"/>
              <w:rPr>
                <w:rFonts w:ascii="宋体" w:hAnsi="宋体" w:cs="宋体"/>
                <w:bCs/>
                <w:color w:val="000000"/>
                <w:szCs w:val="21"/>
              </w:rPr>
            </w:pPr>
          </w:p>
          <w:p w14:paraId="5D96137D">
            <w:pPr>
              <w:jc w:val="center"/>
              <w:rPr>
                <w:rFonts w:ascii="宋体" w:hAnsi="宋体" w:cs="宋体"/>
                <w:bCs/>
                <w:color w:val="000000"/>
                <w:szCs w:val="21"/>
              </w:rPr>
            </w:pPr>
          </w:p>
          <w:p w14:paraId="032373E0">
            <w:pPr>
              <w:jc w:val="center"/>
              <w:rPr>
                <w:rFonts w:ascii="宋体" w:hAnsi="宋体" w:cs="宋体"/>
                <w:bCs/>
                <w:color w:val="000000"/>
                <w:szCs w:val="21"/>
              </w:rPr>
            </w:pPr>
          </w:p>
          <w:p w14:paraId="33A55E9E">
            <w:pPr>
              <w:jc w:val="center"/>
              <w:rPr>
                <w:rFonts w:ascii="宋体" w:hAnsi="宋体" w:cs="宋体"/>
                <w:bCs/>
                <w:color w:val="000000"/>
                <w:szCs w:val="21"/>
              </w:rPr>
            </w:pPr>
          </w:p>
          <w:p w14:paraId="3504929C">
            <w:pPr>
              <w:jc w:val="center"/>
              <w:rPr>
                <w:rFonts w:ascii="宋体" w:hAnsi="宋体" w:cs="宋体"/>
                <w:bCs/>
                <w:color w:val="000000"/>
                <w:szCs w:val="21"/>
              </w:rPr>
            </w:pPr>
          </w:p>
          <w:p w14:paraId="20CA7434">
            <w:pPr>
              <w:jc w:val="center"/>
              <w:rPr>
                <w:rFonts w:ascii="宋体" w:hAnsi="宋体" w:cs="宋体"/>
                <w:bCs/>
                <w:color w:val="000000"/>
                <w:szCs w:val="21"/>
              </w:rPr>
            </w:pPr>
          </w:p>
          <w:p w14:paraId="49DC97C2">
            <w:pPr>
              <w:jc w:val="center"/>
              <w:rPr>
                <w:rFonts w:ascii="宋体" w:hAnsi="宋体" w:cs="宋体"/>
                <w:bCs/>
                <w:color w:val="000000"/>
                <w:szCs w:val="21"/>
              </w:rPr>
            </w:pPr>
          </w:p>
          <w:p w14:paraId="618C58C1">
            <w:pPr>
              <w:jc w:val="center"/>
              <w:rPr>
                <w:rFonts w:ascii="宋体" w:hAnsi="宋体" w:cs="宋体"/>
                <w:bCs/>
                <w:color w:val="000000"/>
                <w:szCs w:val="21"/>
              </w:rPr>
            </w:pPr>
          </w:p>
          <w:p w14:paraId="754E70E9">
            <w:pPr>
              <w:jc w:val="center"/>
              <w:rPr>
                <w:rFonts w:ascii="宋体" w:hAnsi="宋体" w:cs="宋体"/>
                <w:bCs/>
                <w:color w:val="000000"/>
                <w:szCs w:val="21"/>
              </w:rPr>
            </w:pPr>
          </w:p>
          <w:p w14:paraId="426FCA19">
            <w:pPr>
              <w:jc w:val="center"/>
              <w:rPr>
                <w:rFonts w:ascii="宋体" w:hAnsi="宋体" w:cs="宋体"/>
                <w:bCs/>
                <w:color w:val="000000"/>
                <w:szCs w:val="21"/>
              </w:rPr>
            </w:pPr>
          </w:p>
          <w:p w14:paraId="6F28B921">
            <w:pPr>
              <w:jc w:val="center"/>
              <w:rPr>
                <w:rFonts w:ascii="宋体" w:hAnsi="宋体" w:cs="宋体"/>
                <w:bCs/>
                <w:color w:val="000000"/>
                <w:szCs w:val="21"/>
              </w:rPr>
            </w:pPr>
          </w:p>
          <w:p w14:paraId="06F481D5">
            <w:pPr>
              <w:jc w:val="center"/>
              <w:rPr>
                <w:rFonts w:ascii="宋体" w:hAnsi="宋体" w:cs="宋体"/>
                <w:bCs/>
                <w:color w:val="000000"/>
                <w:szCs w:val="21"/>
              </w:rPr>
            </w:pPr>
          </w:p>
          <w:p w14:paraId="48DA0877">
            <w:pPr>
              <w:jc w:val="center"/>
              <w:rPr>
                <w:rFonts w:ascii="宋体" w:hAnsi="宋体" w:cs="宋体"/>
                <w:bCs/>
                <w:color w:val="000000"/>
                <w:szCs w:val="21"/>
              </w:rPr>
            </w:pPr>
          </w:p>
          <w:p w14:paraId="42577778">
            <w:pPr>
              <w:jc w:val="center"/>
              <w:rPr>
                <w:rFonts w:ascii="宋体" w:hAnsi="宋体" w:cs="宋体"/>
                <w:bCs/>
                <w:color w:val="000000"/>
                <w:szCs w:val="21"/>
              </w:rPr>
            </w:pPr>
          </w:p>
          <w:p w14:paraId="465DB01F">
            <w:pPr>
              <w:jc w:val="center"/>
              <w:rPr>
                <w:rFonts w:ascii="宋体" w:hAnsi="宋体" w:cs="宋体"/>
                <w:bCs/>
                <w:color w:val="000000"/>
                <w:szCs w:val="21"/>
              </w:rPr>
            </w:pPr>
          </w:p>
          <w:p w14:paraId="2A1CD4B2">
            <w:pPr>
              <w:jc w:val="center"/>
              <w:rPr>
                <w:rFonts w:ascii="宋体" w:hAnsi="宋体" w:cs="宋体"/>
                <w:bCs/>
                <w:color w:val="000000"/>
                <w:szCs w:val="21"/>
              </w:rPr>
            </w:pPr>
          </w:p>
          <w:p w14:paraId="052E0971">
            <w:pPr>
              <w:jc w:val="center"/>
              <w:rPr>
                <w:rFonts w:ascii="宋体" w:hAnsi="宋体" w:cs="宋体"/>
                <w:bCs/>
                <w:color w:val="000000"/>
                <w:szCs w:val="21"/>
              </w:rPr>
            </w:pPr>
          </w:p>
          <w:p w14:paraId="7B94E6E4">
            <w:pPr>
              <w:jc w:val="center"/>
              <w:rPr>
                <w:rFonts w:ascii="宋体" w:hAnsi="宋体" w:cs="宋体"/>
                <w:bCs/>
                <w:color w:val="000000"/>
                <w:szCs w:val="21"/>
              </w:rPr>
            </w:pPr>
          </w:p>
          <w:p w14:paraId="21C5B50E">
            <w:pPr>
              <w:jc w:val="center"/>
              <w:rPr>
                <w:rFonts w:ascii="宋体" w:hAnsi="宋体" w:cs="宋体"/>
                <w:bCs/>
                <w:color w:val="000000"/>
                <w:szCs w:val="21"/>
              </w:rPr>
            </w:pPr>
          </w:p>
          <w:p w14:paraId="66D5B29C">
            <w:pPr>
              <w:jc w:val="center"/>
              <w:rPr>
                <w:rFonts w:ascii="宋体" w:hAnsi="宋体" w:cs="宋体"/>
                <w:bCs/>
                <w:color w:val="000000"/>
                <w:szCs w:val="21"/>
              </w:rPr>
            </w:pPr>
          </w:p>
          <w:p w14:paraId="01FBB366">
            <w:pPr>
              <w:jc w:val="center"/>
              <w:rPr>
                <w:rFonts w:ascii="宋体" w:hAnsi="宋体" w:cs="宋体"/>
                <w:bCs/>
                <w:color w:val="000000"/>
                <w:szCs w:val="21"/>
              </w:rPr>
            </w:pPr>
          </w:p>
          <w:p w14:paraId="61529915">
            <w:pPr>
              <w:rPr>
                <w:rFonts w:ascii="宋体" w:hAnsi="宋体" w:cs="宋体"/>
                <w:bCs/>
                <w:color w:val="000000"/>
                <w:szCs w:val="21"/>
              </w:rPr>
            </w:pPr>
            <w:r>
              <w:rPr>
                <w:rFonts w:hint="eastAsia" w:ascii="宋体" w:hAnsi="宋体" w:cs="宋体"/>
                <w:bCs/>
                <w:color w:val="000000"/>
                <w:szCs w:val="21"/>
              </w:rPr>
              <w:t>医用隔帘</w:t>
            </w:r>
          </w:p>
        </w:tc>
        <w:tc>
          <w:tcPr>
            <w:tcW w:w="7127" w:type="dxa"/>
            <w:vAlign w:val="center"/>
          </w:tcPr>
          <w:p w14:paraId="3AB3CD2B">
            <w:pPr>
              <w:widowControl/>
              <w:jc w:val="left"/>
              <w:textAlignment w:val="center"/>
              <w:rPr>
                <w:rFonts w:ascii="宋体" w:hAnsi="宋体" w:cs="宋体"/>
                <w:kern w:val="0"/>
                <w:szCs w:val="21"/>
              </w:rPr>
            </w:pPr>
            <w:r>
              <w:rPr>
                <w:rFonts w:hint="eastAsia" w:ascii="宋体" w:hAnsi="宋体" w:eastAsia="宋体" w:cs="宋体"/>
                <w:kern w:val="0"/>
                <w:szCs w:val="21"/>
              </w:rPr>
              <w:t>▲1、</w:t>
            </w:r>
            <w:r>
              <w:rPr>
                <w:rFonts w:hint="eastAsia" w:ascii="宋体" w:hAnsi="宋体" w:cs="宋体"/>
                <w:kern w:val="0"/>
                <w:szCs w:val="21"/>
              </w:rPr>
              <w:t>检测指标（包含以下技术参数）：</w:t>
            </w:r>
          </w:p>
          <w:p w14:paraId="6904F1D9">
            <w:pPr>
              <w:widowControl/>
              <w:jc w:val="left"/>
              <w:textAlignment w:val="center"/>
              <w:rPr>
                <w:rFonts w:ascii="宋体" w:hAnsi="宋体" w:cs="宋体"/>
                <w:kern w:val="0"/>
                <w:szCs w:val="21"/>
              </w:rPr>
            </w:pPr>
            <w:r>
              <w:rPr>
                <w:rFonts w:hint="eastAsia" w:ascii="宋体" w:hAnsi="宋体" w:cs="宋体"/>
                <w:kern w:val="0"/>
                <w:szCs w:val="21"/>
              </w:rPr>
              <w:t>①纤维含量</w:t>
            </w:r>
            <w:r>
              <w:rPr>
                <w:rFonts w:hint="eastAsia" w:ascii="宋体" w:hAnsi="宋体" w:eastAsia="宋体" w:cs="宋体"/>
                <w:kern w:val="0"/>
                <w:szCs w:val="21"/>
              </w:rPr>
              <w:t>：100%聚酯纤维（方法标准：FZ/T 01057.2-2007、FZ/T 01057.3-2007、FZ/T 01057.4-2007）</w:t>
            </w:r>
            <w:r>
              <w:rPr>
                <w:rFonts w:hint="eastAsia" w:ascii="宋体" w:hAnsi="宋体" w:cs="宋体"/>
                <w:kern w:val="0"/>
                <w:szCs w:val="21"/>
              </w:rPr>
              <w:t>；</w:t>
            </w:r>
          </w:p>
          <w:p w14:paraId="69C35850">
            <w:pPr>
              <w:widowControl/>
              <w:jc w:val="left"/>
              <w:textAlignment w:val="center"/>
              <w:rPr>
                <w:rFonts w:ascii="宋体" w:hAnsi="宋体" w:cs="宋体"/>
                <w:kern w:val="0"/>
                <w:szCs w:val="21"/>
              </w:rPr>
            </w:pPr>
            <w:r>
              <w:rPr>
                <w:rFonts w:hint="eastAsia" w:ascii="宋体" w:hAnsi="宋体" w:cs="宋体"/>
                <w:kern w:val="0"/>
                <w:szCs w:val="21"/>
              </w:rPr>
              <w:t>②</w:t>
            </w:r>
            <w:r>
              <w:rPr>
                <w:rFonts w:hint="eastAsia" w:ascii="宋体" w:hAnsi="宋体" w:eastAsia="宋体" w:cs="宋体"/>
                <w:kern w:val="0"/>
                <w:szCs w:val="21"/>
              </w:rPr>
              <w:t>织物密度（根/10cm）：经</w:t>
            </w:r>
            <w:r>
              <w:rPr>
                <w:rFonts w:hint="eastAsia" w:ascii="宋体" w:hAnsi="宋体" w:cs="宋体"/>
                <w:kern w:val="0"/>
                <w:szCs w:val="21"/>
              </w:rPr>
              <w:t>向</w:t>
            </w:r>
            <w:r>
              <w:rPr>
                <w:rFonts w:hint="eastAsia" w:ascii="宋体" w:hAnsi="宋体" w:eastAsia="宋体" w:cs="宋体"/>
                <w:kern w:val="0"/>
                <w:szCs w:val="21"/>
              </w:rPr>
              <w:t>≥</w:t>
            </w:r>
            <w:r>
              <w:rPr>
                <w:rFonts w:hint="eastAsia" w:ascii="宋体" w:hAnsi="宋体" w:cs="宋体"/>
                <w:kern w:val="0"/>
                <w:szCs w:val="21"/>
              </w:rPr>
              <w:t>680</w:t>
            </w:r>
            <w:r>
              <w:rPr>
                <w:rFonts w:hint="eastAsia" w:ascii="宋体" w:hAnsi="宋体" w:eastAsia="宋体" w:cs="宋体"/>
                <w:kern w:val="0"/>
                <w:szCs w:val="21"/>
              </w:rPr>
              <w:t>、纬</w:t>
            </w:r>
            <w:r>
              <w:rPr>
                <w:rFonts w:hint="eastAsia" w:ascii="宋体" w:hAnsi="宋体" w:cs="宋体"/>
                <w:kern w:val="0"/>
                <w:szCs w:val="21"/>
              </w:rPr>
              <w:t>向</w:t>
            </w:r>
            <w:r>
              <w:rPr>
                <w:rFonts w:hint="eastAsia" w:ascii="宋体" w:hAnsi="宋体" w:eastAsia="宋体" w:cs="宋体"/>
                <w:kern w:val="0"/>
                <w:szCs w:val="21"/>
              </w:rPr>
              <w:t>≥</w:t>
            </w:r>
            <w:r>
              <w:rPr>
                <w:rFonts w:hint="eastAsia" w:ascii="宋体" w:hAnsi="宋体" w:cs="宋体"/>
                <w:kern w:val="0"/>
                <w:szCs w:val="21"/>
              </w:rPr>
              <w:t>540</w:t>
            </w:r>
            <w:r>
              <w:rPr>
                <w:rFonts w:hint="eastAsia" w:ascii="宋体" w:hAnsi="宋体" w:eastAsia="宋体" w:cs="宋体"/>
                <w:kern w:val="0"/>
                <w:szCs w:val="21"/>
              </w:rPr>
              <w:t>（方法标准：GB/T 4668-1995）；勾丝</w:t>
            </w:r>
            <w:r>
              <w:rPr>
                <w:rFonts w:hint="eastAsia" w:ascii="宋体" w:hAnsi="宋体" w:cs="宋体"/>
                <w:kern w:val="0"/>
                <w:szCs w:val="21"/>
              </w:rPr>
              <w:t>性能（级）</w:t>
            </w:r>
            <w:r>
              <w:rPr>
                <w:rFonts w:hint="eastAsia" w:ascii="宋体" w:hAnsi="宋体" w:eastAsia="宋体" w:cs="宋体"/>
                <w:kern w:val="0"/>
                <w:szCs w:val="21"/>
              </w:rPr>
              <w:t>：≥</w:t>
            </w:r>
            <w:r>
              <w:rPr>
                <w:rFonts w:hint="eastAsia" w:ascii="宋体" w:hAnsi="宋体" w:cs="宋体"/>
                <w:kern w:val="0"/>
                <w:szCs w:val="21"/>
              </w:rPr>
              <w:t>3</w:t>
            </w:r>
            <w:r>
              <w:rPr>
                <w:rFonts w:hint="eastAsia" w:ascii="宋体" w:hAnsi="宋体" w:eastAsia="宋体" w:cs="宋体"/>
                <w:kern w:val="0"/>
                <w:szCs w:val="21"/>
              </w:rPr>
              <w:t>方法</w:t>
            </w:r>
            <w:r>
              <w:rPr>
                <w:rFonts w:hint="eastAsia" w:ascii="宋体" w:hAnsi="宋体" w:cs="宋体"/>
                <w:kern w:val="0"/>
                <w:szCs w:val="21"/>
              </w:rPr>
              <w:t>标准</w:t>
            </w:r>
            <w:r>
              <w:rPr>
                <w:rFonts w:hint="eastAsia" w:ascii="宋体" w:hAnsi="宋体" w:eastAsia="宋体" w:cs="宋体"/>
                <w:kern w:val="0"/>
                <w:szCs w:val="21"/>
              </w:rPr>
              <w:t>：GB/T</w:t>
            </w:r>
            <w:r>
              <w:rPr>
                <w:rFonts w:hint="eastAsia" w:ascii="宋体" w:hAnsi="宋体" w:cs="宋体"/>
                <w:kern w:val="0"/>
                <w:szCs w:val="21"/>
              </w:rPr>
              <w:t xml:space="preserve"> 11047</w:t>
            </w:r>
            <w:r>
              <w:rPr>
                <w:rFonts w:hint="eastAsia" w:ascii="宋体" w:hAnsi="宋体" w:eastAsia="宋体" w:cs="宋体"/>
                <w:kern w:val="0"/>
                <w:szCs w:val="21"/>
              </w:rPr>
              <w:t>-20</w:t>
            </w:r>
            <w:r>
              <w:rPr>
                <w:rFonts w:hint="eastAsia" w:ascii="宋体" w:hAnsi="宋体" w:cs="宋体"/>
                <w:kern w:val="0"/>
                <w:szCs w:val="21"/>
              </w:rPr>
              <w:t>08</w:t>
            </w:r>
            <w:r>
              <w:rPr>
                <w:rFonts w:hint="eastAsia" w:ascii="宋体" w:hAnsi="宋体" w:eastAsia="宋体" w:cs="宋体"/>
                <w:kern w:val="0"/>
                <w:szCs w:val="21"/>
              </w:rPr>
              <w:t>）；</w:t>
            </w:r>
            <w:r>
              <w:rPr>
                <w:rFonts w:hint="eastAsia" w:ascii="宋体" w:hAnsi="宋体" w:cs="宋体"/>
                <w:kern w:val="0"/>
                <w:szCs w:val="21"/>
              </w:rPr>
              <w:t>单位面积质量(g/</w:t>
            </w:r>
            <w:r>
              <w:rPr>
                <w:rFonts w:hint="eastAsia" w:ascii="宋体" w:hAnsi="宋体" w:eastAsia="宋体" w:cs="宋体"/>
                <w:kern w:val="0"/>
                <w:szCs w:val="21"/>
              </w:rPr>
              <w:t>㎡</w:t>
            </w:r>
            <w:r>
              <w:rPr>
                <w:rFonts w:hint="eastAsia" w:ascii="宋体" w:hAnsi="宋体" w:cs="宋体"/>
                <w:kern w:val="0"/>
                <w:szCs w:val="21"/>
              </w:rPr>
              <w:t>)</w:t>
            </w:r>
            <w:r>
              <w:rPr>
                <w:rFonts w:hint="eastAsia" w:ascii="宋体" w:hAnsi="宋体" w:eastAsia="宋体" w:cs="宋体"/>
                <w:kern w:val="0"/>
                <w:szCs w:val="21"/>
              </w:rPr>
              <w:t>：≥</w:t>
            </w:r>
            <w:r>
              <w:rPr>
                <w:rFonts w:hint="eastAsia" w:ascii="宋体" w:hAnsi="宋体" w:cs="宋体"/>
                <w:kern w:val="0"/>
                <w:szCs w:val="21"/>
              </w:rPr>
              <w:t>245</w:t>
            </w:r>
            <w:r>
              <w:rPr>
                <w:rFonts w:hint="eastAsia" w:ascii="宋体" w:hAnsi="宋体" w:eastAsia="宋体" w:cs="宋体"/>
                <w:kern w:val="0"/>
                <w:szCs w:val="21"/>
              </w:rPr>
              <w:t>（方法标准：GB/T 4</w:t>
            </w:r>
            <w:r>
              <w:rPr>
                <w:rFonts w:hint="eastAsia" w:ascii="宋体" w:hAnsi="宋体" w:cs="宋体"/>
                <w:kern w:val="0"/>
                <w:szCs w:val="21"/>
              </w:rPr>
              <w:t>669</w:t>
            </w:r>
            <w:r>
              <w:rPr>
                <w:rFonts w:hint="eastAsia" w:ascii="宋体" w:hAnsi="宋体" w:eastAsia="宋体" w:cs="宋体"/>
                <w:kern w:val="0"/>
                <w:szCs w:val="21"/>
              </w:rPr>
              <w:t>-2008）</w:t>
            </w:r>
            <w:r>
              <w:rPr>
                <w:rFonts w:hint="eastAsia" w:ascii="宋体" w:hAnsi="宋体" w:cs="宋体"/>
                <w:kern w:val="0"/>
                <w:szCs w:val="21"/>
              </w:rPr>
              <w:t>；</w:t>
            </w:r>
          </w:p>
          <w:p w14:paraId="41B01FC0">
            <w:pPr>
              <w:widowControl/>
              <w:jc w:val="left"/>
              <w:textAlignment w:val="center"/>
              <w:rPr>
                <w:rFonts w:ascii="宋体" w:hAnsi="宋体" w:cs="宋体"/>
                <w:kern w:val="0"/>
                <w:szCs w:val="21"/>
              </w:rPr>
            </w:pPr>
            <w:r>
              <w:rPr>
                <w:rFonts w:hint="eastAsia" w:ascii="宋体" w:hAnsi="宋体" w:eastAsia="宋体" w:cs="宋体"/>
                <w:kern w:val="0"/>
                <w:szCs w:val="21"/>
              </w:rPr>
              <w:t>③起毛起球(级）：≥4（方法标准：GB/T 4802.</w:t>
            </w:r>
            <w:r>
              <w:rPr>
                <w:rFonts w:hint="eastAsia" w:ascii="宋体" w:hAnsi="宋体" w:cs="宋体"/>
                <w:kern w:val="0"/>
                <w:szCs w:val="21"/>
              </w:rPr>
              <w:t>1</w:t>
            </w:r>
            <w:r>
              <w:rPr>
                <w:rFonts w:hint="eastAsia" w:ascii="宋体" w:hAnsi="宋体" w:eastAsia="宋体" w:cs="宋体"/>
                <w:kern w:val="0"/>
                <w:szCs w:val="21"/>
              </w:rPr>
              <w:t>-2008）；水洗尺寸变化率/%：经向</w:t>
            </w:r>
            <w:r>
              <w:rPr>
                <w:rFonts w:hint="eastAsia" w:ascii="宋体" w:hAnsi="宋体" w:cs="宋体"/>
                <w:kern w:val="0"/>
                <w:szCs w:val="21"/>
              </w:rPr>
              <w:t>-0.4～</w:t>
            </w:r>
            <w:r>
              <w:rPr>
                <w:rFonts w:hint="eastAsia" w:ascii="宋体" w:hAnsi="宋体" w:eastAsia="宋体" w:cs="宋体"/>
                <w:kern w:val="0"/>
                <w:szCs w:val="21"/>
              </w:rPr>
              <w:t>0.</w:t>
            </w:r>
            <w:r>
              <w:rPr>
                <w:rFonts w:hint="eastAsia" w:ascii="宋体" w:hAnsi="宋体" w:cs="宋体"/>
                <w:kern w:val="0"/>
                <w:szCs w:val="21"/>
              </w:rPr>
              <w:t>5</w:t>
            </w:r>
            <w:r>
              <w:rPr>
                <w:rFonts w:hint="eastAsia" w:ascii="宋体" w:hAnsi="宋体" w:eastAsia="宋体" w:cs="宋体"/>
                <w:kern w:val="0"/>
                <w:szCs w:val="21"/>
              </w:rPr>
              <w:t>、纬向</w:t>
            </w:r>
            <w:r>
              <w:rPr>
                <w:rFonts w:hint="eastAsia" w:ascii="宋体" w:hAnsi="宋体" w:cs="宋体"/>
                <w:kern w:val="0"/>
                <w:szCs w:val="21"/>
              </w:rPr>
              <w:t>-0.3～</w:t>
            </w:r>
            <w:r>
              <w:rPr>
                <w:rFonts w:hint="eastAsia" w:ascii="宋体" w:hAnsi="宋体" w:eastAsia="宋体" w:cs="宋体"/>
                <w:kern w:val="0"/>
                <w:szCs w:val="21"/>
              </w:rPr>
              <w:t>0</w:t>
            </w:r>
            <w:r>
              <w:rPr>
                <w:rFonts w:hint="eastAsia" w:ascii="宋体" w:hAnsi="宋体" w:cs="宋体"/>
                <w:kern w:val="0"/>
                <w:szCs w:val="21"/>
              </w:rPr>
              <w:t>.4</w:t>
            </w:r>
            <w:r>
              <w:rPr>
                <w:rFonts w:hint="eastAsia" w:ascii="宋体" w:hAnsi="宋体" w:eastAsia="宋体" w:cs="宋体"/>
                <w:kern w:val="0"/>
                <w:szCs w:val="21"/>
              </w:rPr>
              <w:t>（方法标准：GB/T 86</w:t>
            </w:r>
            <w:r>
              <w:rPr>
                <w:rFonts w:hint="eastAsia" w:ascii="宋体" w:hAnsi="宋体" w:cs="宋体"/>
                <w:kern w:val="0"/>
                <w:szCs w:val="21"/>
              </w:rPr>
              <w:t>28</w:t>
            </w:r>
            <w:r>
              <w:rPr>
                <w:rFonts w:hint="eastAsia" w:ascii="宋体" w:hAnsi="宋体" w:eastAsia="宋体" w:cs="宋体"/>
                <w:kern w:val="0"/>
                <w:szCs w:val="21"/>
              </w:rPr>
              <w:t>-2013）</w:t>
            </w:r>
            <w:r>
              <w:rPr>
                <w:rFonts w:hint="eastAsia" w:ascii="宋体" w:hAnsi="宋体" w:cs="宋体"/>
                <w:kern w:val="0"/>
                <w:szCs w:val="21"/>
              </w:rPr>
              <w:t>；汽蒸</w:t>
            </w:r>
            <w:r>
              <w:rPr>
                <w:rFonts w:hint="eastAsia" w:ascii="宋体" w:hAnsi="宋体" w:eastAsia="宋体" w:cs="宋体"/>
                <w:kern w:val="0"/>
                <w:szCs w:val="21"/>
              </w:rPr>
              <w:t>尺寸变化率/%：经向</w:t>
            </w:r>
            <w:r>
              <w:rPr>
                <w:rFonts w:hint="eastAsia" w:ascii="宋体" w:hAnsi="宋体" w:cs="宋体"/>
                <w:kern w:val="0"/>
                <w:szCs w:val="21"/>
              </w:rPr>
              <w:t>-0.2～</w:t>
            </w:r>
            <w:r>
              <w:rPr>
                <w:rFonts w:hint="eastAsia" w:ascii="宋体" w:hAnsi="宋体" w:eastAsia="宋体" w:cs="宋体"/>
                <w:kern w:val="0"/>
                <w:szCs w:val="21"/>
              </w:rPr>
              <w:t>0.</w:t>
            </w:r>
            <w:r>
              <w:rPr>
                <w:rFonts w:hint="eastAsia" w:ascii="宋体" w:hAnsi="宋体" w:cs="宋体"/>
                <w:kern w:val="0"/>
                <w:szCs w:val="21"/>
              </w:rPr>
              <w:t>3</w:t>
            </w:r>
            <w:r>
              <w:rPr>
                <w:rFonts w:hint="eastAsia" w:ascii="宋体" w:hAnsi="宋体" w:eastAsia="宋体" w:cs="宋体"/>
                <w:kern w:val="0"/>
                <w:szCs w:val="21"/>
              </w:rPr>
              <w:t>、纬向</w:t>
            </w:r>
            <w:r>
              <w:rPr>
                <w:rFonts w:hint="eastAsia" w:ascii="宋体" w:hAnsi="宋体" w:cs="宋体"/>
                <w:kern w:val="0"/>
                <w:szCs w:val="21"/>
              </w:rPr>
              <w:t>-0.2～0.3</w:t>
            </w:r>
            <w:r>
              <w:rPr>
                <w:rFonts w:hint="eastAsia" w:ascii="宋体" w:hAnsi="宋体" w:eastAsia="宋体" w:cs="宋体"/>
                <w:kern w:val="0"/>
                <w:szCs w:val="21"/>
              </w:rPr>
              <w:t>（方法标准：</w:t>
            </w:r>
            <w:r>
              <w:rPr>
                <w:rFonts w:hint="eastAsia" w:ascii="宋体" w:hAnsi="宋体" w:cs="宋体"/>
                <w:kern w:val="0"/>
                <w:szCs w:val="21"/>
              </w:rPr>
              <w:t>FZ</w:t>
            </w:r>
            <w:r>
              <w:rPr>
                <w:rFonts w:hint="eastAsia" w:ascii="宋体" w:hAnsi="宋体" w:eastAsia="宋体" w:cs="宋体"/>
                <w:kern w:val="0"/>
                <w:szCs w:val="21"/>
              </w:rPr>
              <w:t xml:space="preserve">/T </w:t>
            </w:r>
            <w:r>
              <w:rPr>
                <w:rFonts w:hint="eastAsia" w:ascii="宋体" w:hAnsi="宋体" w:cs="宋体"/>
                <w:kern w:val="0"/>
                <w:szCs w:val="21"/>
              </w:rPr>
              <w:t>20021</w:t>
            </w:r>
            <w:r>
              <w:rPr>
                <w:rFonts w:hint="eastAsia" w:ascii="宋体" w:hAnsi="宋体" w:eastAsia="宋体" w:cs="宋体"/>
                <w:kern w:val="0"/>
                <w:szCs w:val="21"/>
              </w:rPr>
              <w:t>-201</w:t>
            </w:r>
            <w:r>
              <w:rPr>
                <w:rFonts w:hint="eastAsia" w:ascii="宋体" w:hAnsi="宋体" w:cs="宋体"/>
                <w:kern w:val="0"/>
                <w:szCs w:val="21"/>
              </w:rPr>
              <w:t>2</w:t>
            </w:r>
            <w:r>
              <w:rPr>
                <w:rFonts w:hint="eastAsia" w:ascii="宋体" w:hAnsi="宋体" w:eastAsia="宋体" w:cs="宋体"/>
                <w:kern w:val="0"/>
                <w:szCs w:val="21"/>
              </w:rPr>
              <w:t>）</w:t>
            </w:r>
            <w:r>
              <w:rPr>
                <w:rFonts w:hint="eastAsia" w:ascii="宋体" w:hAnsi="宋体" w:cs="宋体"/>
                <w:kern w:val="0"/>
                <w:szCs w:val="21"/>
              </w:rPr>
              <w:t>；邻苯基苯酚(mg/kg)≤1</w:t>
            </w:r>
            <w:r>
              <w:rPr>
                <w:rFonts w:hint="eastAsia" w:ascii="宋体" w:hAnsi="宋体" w:eastAsia="宋体" w:cs="宋体"/>
                <w:kern w:val="0"/>
                <w:szCs w:val="21"/>
              </w:rPr>
              <w:t xml:space="preserve">（方法标准：GB/T </w:t>
            </w:r>
            <w:r>
              <w:rPr>
                <w:rFonts w:hint="eastAsia" w:ascii="宋体" w:hAnsi="宋体" w:cs="宋体"/>
                <w:kern w:val="0"/>
                <w:szCs w:val="21"/>
              </w:rPr>
              <w:t>20386</w:t>
            </w:r>
            <w:r>
              <w:rPr>
                <w:rFonts w:hint="eastAsia" w:ascii="宋体" w:hAnsi="宋体" w:eastAsia="宋体" w:cs="宋体"/>
                <w:kern w:val="0"/>
                <w:szCs w:val="21"/>
              </w:rPr>
              <w:t>-200</w:t>
            </w:r>
            <w:r>
              <w:rPr>
                <w:rFonts w:hint="eastAsia" w:ascii="宋体" w:hAnsi="宋体" w:cs="宋体"/>
                <w:kern w:val="0"/>
                <w:szCs w:val="21"/>
              </w:rPr>
              <w:t>6</w:t>
            </w:r>
            <w:r>
              <w:rPr>
                <w:rFonts w:hint="eastAsia" w:ascii="宋体" w:hAnsi="宋体" w:eastAsia="宋体" w:cs="宋体"/>
                <w:kern w:val="0"/>
                <w:szCs w:val="21"/>
              </w:rPr>
              <w:t>）</w:t>
            </w:r>
          </w:p>
          <w:p w14:paraId="1B38E227">
            <w:pPr>
              <w:widowControl/>
              <w:jc w:val="left"/>
              <w:textAlignment w:val="center"/>
              <w:rPr>
                <w:rFonts w:ascii="宋体" w:hAnsi="宋体" w:cs="宋体"/>
                <w:kern w:val="0"/>
                <w:szCs w:val="21"/>
              </w:rPr>
            </w:pPr>
            <w:r>
              <w:rPr>
                <w:rFonts w:hint="eastAsia" w:ascii="宋体" w:hAnsi="宋体" w:eastAsia="宋体" w:cs="宋体"/>
                <w:kern w:val="0"/>
                <w:szCs w:val="21"/>
              </w:rPr>
              <w:t>④</w:t>
            </w:r>
            <w:r>
              <w:rPr>
                <w:rFonts w:hint="eastAsia" w:ascii="宋体" w:hAnsi="宋体" w:cs="宋体"/>
                <w:kern w:val="0"/>
                <w:szCs w:val="21"/>
              </w:rPr>
              <w:t>断裂强力（N）：经向</w:t>
            </w:r>
            <w:r>
              <w:rPr>
                <w:rFonts w:hint="eastAsia" w:ascii="宋体" w:hAnsi="宋体" w:eastAsia="宋体" w:cs="宋体"/>
                <w:kern w:val="0"/>
                <w:szCs w:val="21"/>
              </w:rPr>
              <w:t>≥</w:t>
            </w:r>
            <w:r>
              <w:rPr>
                <w:rFonts w:hint="eastAsia" w:ascii="宋体" w:hAnsi="宋体" w:cs="宋体"/>
                <w:kern w:val="0"/>
                <w:szCs w:val="21"/>
              </w:rPr>
              <w:t>1600、纬向</w:t>
            </w:r>
            <w:r>
              <w:rPr>
                <w:rFonts w:hint="eastAsia" w:ascii="宋体" w:hAnsi="宋体" w:eastAsia="宋体" w:cs="宋体"/>
                <w:kern w:val="0"/>
                <w:szCs w:val="21"/>
              </w:rPr>
              <w:t>≥</w:t>
            </w:r>
            <w:r>
              <w:rPr>
                <w:rFonts w:hint="eastAsia" w:ascii="宋体" w:hAnsi="宋体" w:cs="宋体"/>
                <w:kern w:val="0"/>
                <w:szCs w:val="21"/>
              </w:rPr>
              <w:t>2400（均可偏离±1%，方法标准：GB/T 3923.1-2013）；撕破强力（N）：经向</w:t>
            </w:r>
            <w:r>
              <w:rPr>
                <w:rFonts w:hint="eastAsia" w:ascii="宋体" w:hAnsi="宋体" w:eastAsia="宋体" w:cs="宋体"/>
                <w:kern w:val="0"/>
                <w:szCs w:val="21"/>
              </w:rPr>
              <w:t>≥</w:t>
            </w:r>
            <w:r>
              <w:rPr>
                <w:rFonts w:hint="eastAsia" w:ascii="宋体" w:hAnsi="宋体" w:cs="宋体"/>
                <w:kern w:val="0"/>
                <w:szCs w:val="21"/>
              </w:rPr>
              <w:t>350、纬向</w:t>
            </w:r>
            <w:r>
              <w:rPr>
                <w:rFonts w:hint="eastAsia" w:ascii="宋体" w:hAnsi="宋体" w:eastAsia="宋体" w:cs="宋体"/>
                <w:kern w:val="0"/>
                <w:szCs w:val="21"/>
              </w:rPr>
              <w:t>≥</w:t>
            </w:r>
            <w:r>
              <w:rPr>
                <w:rFonts w:hint="eastAsia" w:ascii="宋体" w:hAnsi="宋体" w:cs="宋体"/>
                <w:kern w:val="0"/>
                <w:szCs w:val="21"/>
              </w:rPr>
              <w:t>300（方法标准：GB/T 3917.2-2009）；</w:t>
            </w:r>
          </w:p>
          <w:p w14:paraId="1DFAB2CC">
            <w:pPr>
              <w:widowControl/>
              <w:jc w:val="left"/>
              <w:textAlignment w:val="center"/>
              <w:rPr>
                <w:rFonts w:ascii="宋体" w:hAnsi="宋体" w:cs="宋体"/>
                <w:kern w:val="0"/>
                <w:szCs w:val="21"/>
              </w:rPr>
            </w:pPr>
            <w:r>
              <w:rPr>
                <w:rFonts w:hint="eastAsia" w:ascii="宋体" w:hAnsi="宋体" w:eastAsia="宋体" w:cs="宋体"/>
                <w:kern w:val="0"/>
                <w:szCs w:val="21"/>
              </w:rPr>
              <w:t>⑤</w:t>
            </w:r>
            <w:r>
              <w:rPr>
                <w:rFonts w:hint="eastAsia" w:ascii="宋体" w:hAnsi="宋体" w:cs="宋体"/>
                <w:kern w:val="0"/>
                <w:szCs w:val="21"/>
              </w:rPr>
              <w:t>厚度（mm）：</w:t>
            </w:r>
            <w:r>
              <w:rPr>
                <w:rFonts w:hint="eastAsia" w:ascii="宋体" w:hAnsi="宋体" w:eastAsia="宋体" w:cs="宋体"/>
                <w:kern w:val="0"/>
                <w:szCs w:val="21"/>
              </w:rPr>
              <w:t>≥</w:t>
            </w:r>
            <w:r>
              <w:rPr>
                <w:rFonts w:hint="eastAsia" w:ascii="宋体" w:hAnsi="宋体" w:cs="宋体"/>
                <w:kern w:val="0"/>
                <w:szCs w:val="21"/>
              </w:rPr>
              <w:t>0.7（方法标准：GB/T 3820-1997）；洗涤干燥后平整度（级）：</w:t>
            </w:r>
            <w:r>
              <w:rPr>
                <w:rFonts w:hint="eastAsia" w:ascii="宋体" w:hAnsi="宋体" w:eastAsia="宋体" w:cs="宋体"/>
                <w:kern w:val="0"/>
                <w:szCs w:val="21"/>
              </w:rPr>
              <w:t>≥</w:t>
            </w:r>
            <w:r>
              <w:rPr>
                <w:rFonts w:hint="eastAsia" w:ascii="宋体" w:hAnsi="宋体" w:cs="宋体"/>
                <w:kern w:val="0"/>
                <w:szCs w:val="21"/>
              </w:rPr>
              <w:t>4（方法标准：GB/T 13769-2009）；</w:t>
            </w:r>
          </w:p>
          <w:p w14:paraId="31C50E70">
            <w:pPr>
              <w:widowControl/>
              <w:jc w:val="left"/>
              <w:textAlignment w:val="center"/>
              <w:rPr>
                <w:rFonts w:ascii="宋体" w:hAnsi="宋体" w:cs="宋体"/>
                <w:kern w:val="0"/>
                <w:szCs w:val="21"/>
              </w:rPr>
            </w:pPr>
            <w:r>
              <w:rPr>
                <w:rFonts w:hint="eastAsia" w:ascii="宋体" w:hAnsi="宋体" w:eastAsia="宋体" w:cs="宋体"/>
                <w:kern w:val="0"/>
                <w:szCs w:val="21"/>
              </w:rPr>
              <w:t>⑥</w:t>
            </w:r>
            <w:r>
              <w:rPr>
                <w:rFonts w:hint="eastAsia" w:ascii="宋体" w:hAnsi="宋体" w:cs="宋体"/>
                <w:kern w:val="0"/>
                <w:szCs w:val="21"/>
              </w:rPr>
              <w:t>燃烧性能B1级（水洗101次后）：损毁长度（mm）：经向≤150、纬向≤150，续燃时间（s）：经向≤5、纬向≤5，阴燃时间（s）：经向≤5，纬向≤5（方法标准：GB/T 5455-2014）；甲硫醇成分浓度减少率（</w:t>
            </w:r>
            <w:r>
              <w:rPr>
                <w:rFonts w:hint="eastAsia" w:ascii="宋体" w:hAnsi="宋体" w:eastAsia="宋体" w:cs="宋体"/>
                <w:kern w:val="0"/>
                <w:szCs w:val="21"/>
              </w:rPr>
              <w:t>%</w:t>
            </w:r>
            <w:r>
              <w:rPr>
                <w:rFonts w:hint="eastAsia" w:ascii="宋体" w:hAnsi="宋体" w:cs="宋体"/>
                <w:kern w:val="0"/>
                <w:szCs w:val="21"/>
              </w:rPr>
              <w:t>）：</w:t>
            </w:r>
            <w:r>
              <w:rPr>
                <w:rFonts w:hint="eastAsia" w:ascii="宋体" w:hAnsi="宋体" w:eastAsia="宋体" w:cs="宋体"/>
                <w:kern w:val="0"/>
                <w:szCs w:val="21"/>
              </w:rPr>
              <w:t>≥</w:t>
            </w:r>
            <w:r>
              <w:rPr>
                <w:rFonts w:hint="eastAsia" w:ascii="宋体" w:hAnsi="宋体" w:cs="宋体"/>
                <w:kern w:val="0"/>
                <w:szCs w:val="21"/>
              </w:rPr>
              <w:t>70（方法标准：GB/T 33620.2-2017）；</w:t>
            </w:r>
          </w:p>
          <w:p w14:paraId="0F093D02">
            <w:pPr>
              <w:widowControl/>
              <w:jc w:val="left"/>
              <w:textAlignment w:val="center"/>
            </w:pPr>
            <w:r>
              <w:rPr>
                <w:rFonts w:hint="eastAsia" w:ascii="宋体" w:hAnsi="宋体" w:eastAsia="宋体" w:cs="宋体"/>
                <w:kern w:val="0"/>
                <w:szCs w:val="21"/>
              </w:rPr>
              <w:t>⑦</w:t>
            </w:r>
            <w:r>
              <w:rPr>
                <w:rFonts w:hint="eastAsia" w:ascii="宋体" w:hAnsi="宋体" w:cs="宋体"/>
                <w:kern w:val="0"/>
                <w:szCs w:val="21"/>
              </w:rPr>
              <w:t>甲醛含量(mg/kg)：符合标准≤20（方法标准：GB/T 2912.1-2009）；pH值：符合标准4.0～7.5（方法标准GB/T 7573-2009）；异味：无异味（方法标准：GB 18401-2010）；可分解致癌芳香胺染料(mg/kg)：禁用(限值量≤20mg/kg不得检出（方法标准GB/T 17592-2011）。</w:t>
            </w:r>
          </w:p>
        </w:tc>
      </w:tr>
      <w:tr w14:paraId="5861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838" w:type="dxa"/>
            <w:vMerge w:val="continue"/>
            <w:vAlign w:val="center"/>
          </w:tcPr>
          <w:p w14:paraId="0E586179">
            <w:pPr>
              <w:widowControl/>
              <w:jc w:val="center"/>
              <w:rPr>
                <w:rFonts w:ascii="宋体" w:hAnsi="宋体" w:cs="宋体"/>
                <w:bCs/>
                <w:color w:val="000000"/>
                <w:szCs w:val="21"/>
              </w:rPr>
            </w:pPr>
          </w:p>
        </w:tc>
        <w:tc>
          <w:tcPr>
            <w:tcW w:w="1073" w:type="dxa"/>
            <w:vMerge w:val="continue"/>
            <w:vAlign w:val="center"/>
          </w:tcPr>
          <w:p w14:paraId="4731EB00">
            <w:pPr>
              <w:jc w:val="center"/>
              <w:rPr>
                <w:rFonts w:ascii="宋体" w:hAnsi="宋体" w:cs="宋体"/>
                <w:bCs/>
                <w:color w:val="000000"/>
                <w:szCs w:val="21"/>
              </w:rPr>
            </w:pPr>
          </w:p>
        </w:tc>
        <w:tc>
          <w:tcPr>
            <w:tcW w:w="7127" w:type="dxa"/>
            <w:vAlign w:val="center"/>
          </w:tcPr>
          <w:p w14:paraId="5B532BC0">
            <w:pPr>
              <w:pStyle w:val="3"/>
              <w:rPr>
                <w:rFonts w:ascii="宋体" w:hAnsi="宋体" w:cs="宋体"/>
                <w:kern w:val="0"/>
                <w:szCs w:val="21"/>
              </w:rPr>
            </w:pPr>
            <w:r>
              <w:rPr>
                <w:rFonts w:hint="eastAsia" w:ascii="宋体" w:hAnsi="宋体" w:cs="宋体"/>
                <w:kern w:val="0"/>
                <w:szCs w:val="21"/>
              </w:rPr>
              <w:t>▲2、检测指标（包含以下技术参数）：</w:t>
            </w:r>
          </w:p>
          <w:p w14:paraId="2203D503">
            <w:pPr>
              <w:pStyle w:val="3"/>
              <w:rPr>
                <w:rFonts w:ascii="宋体" w:hAnsi="宋体" w:cs="宋体"/>
                <w:kern w:val="0"/>
                <w:szCs w:val="21"/>
              </w:rPr>
            </w:pPr>
            <w:r>
              <w:rPr>
                <w:rFonts w:hint="eastAsia" w:ascii="宋体" w:hAnsi="宋体" w:cs="宋体"/>
                <w:kern w:val="0"/>
                <w:szCs w:val="21"/>
              </w:rPr>
              <w:t>①遮光率（%）：≥75（方法标准：FZ/T62025-2015）；紫外线性能：UPF：≥50、T(UVA)</w:t>
            </w:r>
            <w:r>
              <w:rPr>
                <w:rFonts w:hint="eastAsia" w:ascii="宋体" w:hAnsi="宋体" w:cs="宋体"/>
                <w:kern w:val="0"/>
                <w:sz w:val="24"/>
                <w:vertAlign w:val="subscript"/>
              </w:rPr>
              <w:t>AV</w:t>
            </w:r>
            <w:r>
              <w:rPr>
                <w:rFonts w:hint="eastAsia" w:ascii="宋体" w:hAnsi="宋体" w:cs="宋体"/>
                <w:kern w:val="0"/>
                <w:szCs w:val="21"/>
              </w:rPr>
              <w:t>：≤0.06%（方法标准：GB/T 18830-2009）；</w:t>
            </w:r>
          </w:p>
          <w:p w14:paraId="6105CABF">
            <w:pPr>
              <w:pStyle w:val="3"/>
              <w:rPr>
                <w:rFonts w:ascii="宋体" w:hAnsi="宋体" w:cs="宋体"/>
                <w:kern w:val="0"/>
                <w:szCs w:val="21"/>
              </w:rPr>
            </w:pPr>
            <w:r>
              <w:rPr>
                <w:rFonts w:hint="eastAsia" w:ascii="宋体" w:hAnsi="宋体" w:cs="宋体"/>
                <w:kern w:val="0"/>
                <w:szCs w:val="21"/>
              </w:rPr>
              <w:t>②总光通量透射比（%）：≤0.1（检测方法标准：FZ/T</w:t>
            </w:r>
            <w:r>
              <w:rPr>
                <w:rFonts w:ascii="宋体" w:hAnsi="宋体" w:cs="宋体"/>
                <w:kern w:val="0"/>
                <w:szCs w:val="21"/>
              </w:rPr>
              <w:t xml:space="preserve"> </w:t>
            </w:r>
            <w:r>
              <w:rPr>
                <w:rFonts w:hint="eastAsia" w:ascii="宋体" w:hAnsi="宋体" w:cs="宋体"/>
                <w:kern w:val="0"/>
                <w:szCs w:val="21"/>
              </w:rPr>
              <w:t>01009-2008）；织物悬垂性静态：a面：62、b面：65、ab面：63.5（均可偏离±1%，方法标准：GB/T 23329-2009）；有机锡化合物（mg/kg）：三丁基锡、二丁基锡、一丁基锡未检出（方法标准：GB/T 20385-2006）；耐唾液色牢度（级）：≥4（方法标准：GB/T 18886-2019）</w:t>
            </w:r>
          </w:p>
          <w:p w14:paraId="0AE1502B">
            <w:pPr>
              <w:pStyle w:val="3"/>
              <w:rPr>
                <w:rFonts w:ascii="宋体" w:hAnsi="宋体" w:cs="宋体"/>
                <w:kern w:val="0"/>
                <w:szCs w:val="21"/>
              </w:rPr>
            </w:pPr>
            <w:r>
              <w:rPr>
                <w:rFonts w:hint="eastAsia" w:ascii="宋体" w:hAnsi="宋体" w:cs="宋体"/>
                <w:kern w:val="0"/>
                <w:szCs w:val="21"/>
              </w:rPr>
              <w:t>③酚黄变色牢度（级）：≥4（方法标准：GB/T 29778-2013）；耐光色牢度（级）：≥6（方法标准：GB/T 8427-2019）；洗涤后外观：变色≥4（方法标准：GB/T 21294-2014）；耐干摩擦色牢度（级）：经向≥4、纬向≥4（方法标准：GB/T 3920-2008）；石棉纤维：未检出（方法标准：FZ/T 01057.1-2007、FZ/T 01057.2-2007）；耐水色牢度（级）：≥4（方法标准：GB/T 5713-2013）；水洗后扭曲率（%）：≤1（方法标准：GB/T 23319.2-2010）</w:t>
            </w:r>
          </w:p>
          <w:p w14:paraId="603BB94E">
            <w:pPr>
              <w:pStyle w:val="3"/>
              <w:rPr>
                <w:rFonts w:ascii="宋体" w:hAnsi="宋体" w:cs="宋体"/>
                <w:kern w:val="0"/>
                <w:szCs w:val="21"/>
              </w:rPr>
            </w:pPr>
            <w:r>
              <w:rPr>
                <w:rFonts w:hint="eastAsia" w:ascii="宋体" w:hAnsi="宋体" w:cs="宋体"/>
                <w:kern w:val="0"/>
                <w:szCs w:val="21"/>
              </w:rPr>
              <w:t>④可萃取重金属（mg/Kg）：锑(Sb):≤3.0、砷(As):≤0.1、铅(Pb):≤0.2、镉(Cd):≤0.2、铬(Cr):≤0.3、铬(六价):≤0.2、钴(Co):≤0.10、铜(Cu):≤3.0、镍(Ni):≤0.20、汞(Hg):≤0.006（方法标准：GB/T 17593.1-2006、GB/T 17593.2-2007、GB/T 17953.3-2006、GB/T 17953.4-2006）；防污性能：防污性≥4（方法标准：FZ/T 01118-2012）</w:t>
            </w:r>
          </w:p>
          <w:p w14:paraId="299D682C">
            <w:pPr>
              <w:pStyle w:val="3"/>
              <w:rPr>
                <w:rFonts w:ascii="宋体" w:hAnsi="宋体" w:cs="宋体"/>
                <w:kern w:val="0"/>
                <w:szCs w:val="21"/>
              </w:rPr>
            </w:pPr>
            <w:r>
              <w:rPr>
                <w:rFonts w:hint="eastAsia" w:ascii="宋体" w:hAnsi="宋体" w:cs="宋体"/>
                <w:kern w:val="0"/>
                <w:szCs w:val="21"/>
              </w:rPr>
              <w:t>⑤含氯酚(mg/kg):五氯苯酚（pcp）:不得检出、2,3,5,6-四氯苯酚（TeCP）：不得检出（方法标准：GB/T 18414.1-2006）；织物耐磨性能（次）：≥20000（方法标准：GB/T 21196.2-2007）；耐汗渍色牢度（级）：碱汗渍≥4、酸汗渍≥4（方法标准：GB/T 3922-2013）</w:t>
            </w:r>
          </w:p>
          <w:p w14:paraId="2EA7DEF0">
            <w:pPr>
              <w:pStyle w:val="3"/>
              <w:rPr>
                <w:rFonts w:ascii="宋体" w:hAnsi="宋体" w:cs="宋体"/>
                <w:kern w:val="0"/>
                <w:szCs w:val="21"/>
              </w:rPr>
            </w:pPr>
            <w:r>
              <w:rPr>
                <w:rFonts w:hint="eastAsia" w:ascii="宋体" w:hAnsi="宋体" w:cs="宋体"/>
                <w:kern w:val="0"/>
                <w:szCs w:val="21"/>
              </w:rPr>
              <w:t>⑥透气率（mm/s）：750～800（方法标准：GB/T 5453-1997）；耐热压色牢度（级）：≥4（方法标准：GB/T 6152-1997）；耐酸斑色牢度（级）：乙酸溶液≥4、盐酸溶液≥4、硫酸溶液≥4（方法标准：GB/T 5715-2013）</w:t>
            </w:r>
          </w:p>
          <w:p w14:paraId="334B5836">
            <w:pPr>
              <w:pStyle w:val="3"/>
            </w:pPr>
            <w:r>
              <w:rPr>
                <w:rFonts w:hint="eastAsia" w:ascii="宋体" w:hAnsi="宋体" w:cs="宋体"/>
                <w:kern w:val="0"/>
                <w:szCs w:val="21"/>
              </w:rPr>
              <w:t>⑦抗菌性能(%)（水洗101次后）：大肠杆菌抑菌率:≥98、金黄色葡萄球菌抑菌率:≥98、白色念珠菌抑菌率:≥98、肺炎克雷伯氏菌抑菌率:≥98（方法标准：GB/T 20944.2-2007）。</w:t>
            </w:r>
          </w:p>
        </w:tc>
      </w:tr>
      <w:tr w14:paraId="3672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838" w:type="dxa"/>
            <w:vMerge w:val="continue"/>
            <w:vAlign w:val="center"/>
          </w:tcPr>
          <w:p w14:paraId="3FF323DB">
            <w:pPr>
              <w:widowControl/>
              <w:jc w:val="center"/>
              <w:rPr>
                <w:rFonts w:ascii="宋体" w:hAnsi="宋体" w:cs="宋体"/>
                <w:bCs/>
                <w:color w:val="000000"/>
                <w:szCs w:val="21"/>
              </w:rPr>
            </w:pPr>
          </w:p>
        </w:tc>
        <w:tc>
          <w:tcPr>
            <w:tcW w:w="1073" w:type="dxa"/>
            <w:vMerge w:val="continue"/>
            <w:vAlign w:val="center"/>
          </w:tcPr>
          <w:p w14:paraId="413436D6">
            <w:pPr>
              <w:jc w:val="center"/>
              <w:rPr>
                <w:rFonts w:ascii="宋体" w:hAnsi="宋体" w:cs="宋体"/>
                <w:bCs/>
                <w:color w:val="000000"/>
                <w:szCs w:val="21"/>
              </w:rPr>
            </w:pPr>
          </w:p>
        </w:tc>
        <w:tc>
          <w:tcPr>
            <w:tcW w:w="7127" w:type="dxa"/>
            <w:vAlign w:val="center"/>
          </w:tcPr>
          <w:p w14:paraId="17DF45E9">
            <w:pPr>
              <w:widowControl/>
              <w:numPr>
                <w:ilvl w:val="0"/>
                <w:numId w:val="3"/>
              </w:numPr>
              <w:jc w:val="left"/>
              <w:textAlignment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防霉性能：黑曲霉；绳状青霉；球毛壳霉；绿色木霉；防霉等级0～1级（方法标准：GB/T 24346-2009）。</w:t>
            </w:r>
          </w:p>
          <w:p w14:paraId="68A44BB4">
            <w:pPr>
              <w:spacing w:line="400" w:lineRule="exact"/>
              <w:rPr>
                <w:rFonts w:ascii="宋体" w:hAnsi="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窗帘布两边包边3cm，底部包边10cm，顶部预留不少于5cm内止口，加工工艺：布帘打皱须从顶到脚上下一致。按照实际倍比例打皱，韩折调节工艺布头与绑带布帘面料的材质及颜色要一致，不能有布头带裸露在外面。车3公分边，10公分脚</w:t>
            </w:r>
            <w:r>
              <w:rPr>
                <w:rFonts w:hint="eastAsia" w:ascii="宋体" w:hAnsi="宋体" w:cs="宋体"/>
                <w:color w:val="000000" w:themeColor="text1"/>
                <w:kern w:val="0"/>
                <w:szCs w:val="21"/>
                <w14:textFill>
                  <w14:solidFill>
                    <w14:schemeClr w14:val="tx1"/>
                  </w14:solidFill>
                </w14:textFill>
              </w:rPr>
              <w:t>，</w:t>
            </w:r>
            <w:r>
              <w:rPr>
                <w:rFonts w:hint="eastAsia" w:ascii="宋体" w:hAnsi="宋体" w:cs="宋体"/>
                <w:bCs/>
                <w:color w:val="000000" w:themeColor="text1"/>
                <w:szCs w:val="21"/>
                <w14:textFill>
                  <w14:solidFill>
                    <w14:schemeClr w14:val="tx1"/>
                  </w14:solidFill>
                </w14:textFill>
              </w:rPr>
              <w:t>窗帘布</w:t>
            </w:r>
            <w:r>
              <w:rPr>
                <w:rFonts w:hint="eastAsia"/>
                <w:color w:val="000000" w:themeColor="text1"/>
                <w:sz w:val="20"/>
                <w:szCs w:val="20"/>
                <w:lang w:eastAsia="zh-Hans"/>
                <w14:textFill>
                  <w14:solidFill>
                    <w14:schemeClr w14:val="tx1"/>
                  </w14:solidFill>
                </w14:textFill>
              </w:rPr>
              <w:t>生产安装前必需洗涤一次、高温消毒一次。</w:t>
            </w:r>
          </w:p>
        </w:tc>
      </w:tr>
      <w:tr w14:paraId="6DEC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0" w:hRule="atLeast"/>
        </w:trPr>
        <w:tc>
          <w:tcPr>
            <w:tcW w:w="838" w:type="dxa"/>
            <w:vMerge w:val="continue"/>
            <w:vAlign w:val="center"/>
          </w:tcPr>
          <w:p w14:paraId="2F8E4574">
            <w:pPr>
              <w:widowControl/>
              <w:jc w:val="center"/>
              <w:rPr>
                <w:rFonts w:ascii="宋体" w:hAnsi="宋体" w:cs="宋体"/>
                <w:bCs/>
                <w:color w:val="000000"/>
                <w:szCs w:val="21"/>
              </w:rPr>
            </w:pPr>
          </w:p>
        </w:tc>
        <w:tc>
          <w:tcPr>
            <w:tcW w:w="1073" w:type="dxa"/>
            <w:vMerge w:val="continue"/>
            <w:vAlign w:val="center"/>
          </w:tcPr>
          <w:p w14:paraId="2303E9F8">
            <w:pPr>
              <w:jc w:val="center"/>
              <w:rPr>
                <w:rFonts w:ascii="宋体" w:hAnsi="宋体" w:cs="宋体"/>
                <w:bCs/>
                <w:color w:val="000000"/>
                <w:szCs w:val="21"/>
              </w:rPr>
            </w:pPr>
          </w:p>
        </w:tc>
        <w:tc>
          <w:tcPr>
            <w:tcW w:w="7127" w:type="dxa"/>
            <w:vAlign w:val="center"/>
          </w:tcPr>
          <w:p w14:paraId="4D571FA1">
            <w:pPr>
              <w:spacing w:line="276" w:lineRule="auto"/>
              <w:rPr>
                <w:rFonts w:ascii="宋体" w:hAnsi="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以上</w:t>
            </w:r>
            <w:r>
              <w:rPr>
                <w:rFonts w:hint="eastAsia" w:ascii="宋体" w:hAnsi="宋体" w:eastAsia="宋体" w:cs="宋体"/>
                <w:b/>
                <w:bCs/>
                <w:color w:val="000000" w:themeColor="text1"/>
                <w:kern w:val="0"/>
                <w:szCs w:val="21"/>
                <w14:textFill>
                  <w14:solidFill>
                    <w14:schemeClr w14:val="tx1"/>
                  </w14:solidFill>
                </w14:textFill>
              </w:rPr>
              <w:t>▲</w:t>
            </w:r>
            <w:r>
              <w:rPr>
                <w:rFonts w:hint="eastAsia" w:ascii="宋体" w:hAnsi="宋体" w:eastAsia="宋体" w:cs="宋体"/>
                <w:b/>
                <w:bCs/>
                <w:color w:val="000000" w:themeColor="text1"/>
                <w:szCs w:val="21"/>
                <w14:textFill>
                  <w14:solidFill>
                    <w14:schemeClr w14:val="tx1"/>
                  </w14:solidFill>
                </w14:textFill>
              </w:rPr>
              <w:t>1-2项</w:t>
            </w:r>
            <w:r>
              <w:rPr>
                <w:rFonts w:hint="eastAsia" w:ascii="宋体" w:hAnsi="宋体" w:cs="宋体"/>
                <w:b/>
                <w:bCs/>
                <w:szCs w:val="21"/>
              </w:rPr>
              <w:t>提供投标人或所投产品制造商</w:t>
            </w:r>
            <w:r>
              <w:rPr>
                <w:rFonts w:hint="eastAsia" w:ascii="宋体" w:hAnsi="宋体" w:eastAsia="宋体" w:cs="宋体"/>
                <w:b/>
                <w:bCs/>
                <w:color w:val="000000" w:themeColor="text1"/>
                <w:szCs w:val="21"/>
                <w14:textFill>
                  <w14:solidFill>
                    <w14:schemeClr w14:val="tx1"/>
                  </w14:solidFill>
                </w14:textFill>
              </w:rPr>
              <w:t>：</w:t>
            </w:r>
            <w:r>
              <w:rPr>
                <w:rFonts w:hint="eastAsia" w:ascii="宋体" w:hAnsi="宋体" w:eastAsia="宋体" w:cs="宋体"/>
                <w:b/>
                <w:bCs/>
                <w:color w:val="000000" w:themeColor="text1"/>
                <w:kern w:val="0"/>
                <w:szCs w:val="21"/>
                <w14:textFill>
                  <w14:solidFill>
                    <w14:schemeClr w14:val="tx1"/>
                  </w14:solidFill>
                </w14:textFill>
              </w:rPr>
              <w:t>(1)202</w:t>
            </w:r>
            <w:r>
              <w:rPr>
                <w:rFonts w:hint="eastAsia" w:ascii="宋体" w:hAnsi="宋体" w:cs="宋体"/>
                <w:b/>
                <w:bCs/>
                <w:color w:val="000000" w:themeColor="text1"/>
                <w:kern w:val="0"/>
                <w:szCs w:val="21"/>
                <w14:textFill>
                  <w14:solidFill>
                    <w14:schemeClr w14:val="tx1"/>
                  </w14:solidFill>
                </w14:textFill>
              </w:rPr>
              <w:t>4</w:t>
            </w:r>
            <w:r>
              <w:rPr>
                <w:rFonts w:hint="eastAsia" w:ascii="宋体" w:hAnsi="宋体" w:eastAsia="宋体" w:cs="宋体"/>
                <w:b/>
                <w:bCs/>
                <w:color w:val="000000" w:themeColor="text1"/>
                <w:kern w:val="0"/>
                <w:szCs w:val="21"/>
                <w14:textFill>
                  <w14:solidFill>
                    <w14:schemeClr w14:val="tx1"/>
                  </w14:solidFill>
                </w14:textFill>
              </w:rPr>
              <w:t>年1月1日至投标截止日,第三方检测机构出具的具有CMA和CNAS 标识的检测报告扫描件，</w:t>
            </w:r>
            <w:r>
              <w:rPr>
                <w:rFonts w:hint="eastAsia" w:ascii="宋体" w:hAnsi="宋体" w:cs="宋体"/>
                <w:b/>
                <w:bCs/>
                <w:color w:val="000000" w:themeColor="text1"/>
                <w:kern w:val="0"/>
                <w:szCs w:val="21"/>
                <w14:textFill>
                  <w14:solidFill>
                    <w14:schemeClr w14:val="tx1"/>
                  </w14:solidFill>
                </w14:textFill>
              </w:rPr>
              <w:t>同时</w:t>
            </w:r>
            <w:r>
              <w:rPr>
                <w:rFonts w:hint="eastAsia" w:ascii="宋体" w:hAnsi="宋体" w:eastAsia="宋体" w:cs="宋体"/>
                <w:b/>
                <w:bCs/>
                <w:color w:val="000000" w:themeColor="text1"/>
                <w:kern w:val="0"/>
                <w:szCs w:val="21"/>
                <w14:textFill>
                  <w14:solidFill>
                    <w14:schemeClr w14:val="tx1"/>
                  </w14:solidFill>
                </w14:textFill>
              </w:rPr>
              <w:t>提供国家认证认可监督委员会官网（https://www.cnca.gov.cn/）检测报告查询截图，</w:t>
            </w:r>
            <w:r>
              <w:rPr>
                <w:rFonts w:hint="eastAsia" w:ascii="宋体" w:hAnsi="宋体" w:cs="宋体"/>
                <w:b/>
                <w:bCs/>
                <w:color w:val="000000" w:themeColor="text1"/>
                <w:kern w:val="0"/>
                <w:szCs w:val="21"/>
                <w14:textFill>
                  <w14:solidFill>
                    <w14:schemeClr w14:val="tx1"/>
                  </w14:solidFill>
                </w14:textFill>
              </w:rPr>
              <w:t>未按要求提供的做负偏离处理。</w:t>
            </w:r>
          </w:p>
          <w:p w14:paraId="47D49116">
            <w:pPr>
              <w:wordWrap w:val="0"/>
              <w:spacing w:line="276" w:lineRule="auto"/>
              <w:rPr>
                <w:rFonts w:ascii="宋体" w:hAnsi="宋体" w:cs="宋体"/>
                <w:color w:val="000000" w:themeColor="text1"/>
                <w:kern w:val="0"/>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（2）同一产品所有技术指标须在同一份检测报告中体现</w:t>
            </w:r>
            <w:r>
              <w:rPr>
                <w:rFonts w:hint="eastAsia" w:ascii="宋体" w:hAnsi="宋体" w:cs="宋体"/>
                <w:b/>
                <w:bCs/>
                <w:color w:val="000000" w:themeColor="text1"/>
                <w:szCs w:val="21"/>
                <w14:textFill>
                  <w14:solidFill>
                    <w14:schemeClr w14:val="tx1"/>
                  </w14:solidFill>
                </w14:textFill>
              </w:rPr>
              <w:t>，否则视为负</w:t>
            </w:r>
            <w:r>
              <w:rPr>
                <w:rFonts w:hint="eastAsia" w:ascii="宋体" w:hAnsi="宋体" w:cs="宋体"/>
                <w:b/>
                <w:bCs/>
                <w:color w:val="000000" w:themeColor="text1"/>
                <w:kern w:val="0"/>
                <w:szCs w:val="21"/>
                <w14:textFill>
                  <w14:solidFill>
                    <w14:schemeClr w14:val="tx1"/>
                  </w14:solidFill>
                </w14:textFill>
              </w:rPr>
              <w:t>偏离</w:t>
            </w:r>
            <w:r>
              <w:rPr>
                <w:rFonts w:hint="eastAsia" w:ascii="宋体" w:hAnsi="宋体" w:eastAsia="宋体" w:cs="宋体"/>
                <w:b/>
                <w:bCs/>
                <w:color w:val="000000" w:themeColor="text1"/>
                <w:szCs w:val="21"/>
                <w14:textFill>
                  <w14:solidFill>
                    <w14:schemeClr w14:val="tx1"/>
                  </w14:solidFill>
                </w14:textFill>
              </w:rPr>
              <w:t>（同一个检测报告编号只能用在一个产品使用，如用在多个产品检测报告无效）。</w:t>
            </w:r>
          </w:p>
        </w:tc>
      </w:tr>
      <w:tr w14:paraId="55712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8" w:type="dxa"/>
            <w:vAlign w:val="center"/>
          </w:tcPr>
          <w:p w14:paraId="2B74CE33">
            <w:pPr>
              <w:widowControl/>
              <w:jc w:val="center"/>
              <w:rPr>
                <w:rFonts w:ascii="宋体" w:hAnsi="宋体" w:cs="宋体"/>
                <w:bCs/>
                <w:color w:val="000000"/>
                <w:szCs w:val="21"/>
              </w:rPr>
            </w:pPr>
            <w:r>
              <w:rPr>
                <w:rFonts w:hint="eastAsia" w:ascii="宋体" w:hAnsi="宋体" w:cs="宋体"/>
                <w:bCs/>
                <w:color w:val="000000"/>
                <w:szCs w:val="21"/>
              </w:rPr>
              <w:t>2</w:t>
            </w:r>
          </w:p>
        </w:tc>
        <w:tc>
          <w:tcPr>
            <w:tcW w:w="1073" w:type="dxa"/>
            <w:vAlign w:val="center"/>
          </w:tcPr>
          <w:p w14:paraId="3380DEB3">
            <w:pPr>
              <w:jc w:val="center"/>
              <w:rPr>
                <w:rFonts w:ascii="宋体" w:hAnsi="宋体" w:cs="宋体"/>
                <w:bCs/>
                <w:color w:val="000000"/>
                <w:szCs w:val="21"/>
              </w:rPr>
            </w:pPr>
            <w:r>
              <w:rPr>
                <w:rFonts w:hint="eastAsia" w:ascii="宋体" w:hAnsi="宋体" w:cs="宋体"/>
                <w:color w:val="000000"/>
                <w:kern w:val="0"/>
                <w:szCs w:val="21"/>
              </w:rPr>
              <w:t>铝合金专用隔帘轨道</w:t>
            </w:r>
          </w:p>
        </w:tc>
        <w:tc>
          <w:tcPr>
            <w:tcW w:w="7127" w:type="dxa"/>
            <w:vAlign w:val="center"/>
          </w:tcPr>
          <w:p w14:paraId="4AB8684A">
            <w:pPr>
              <w:widowControl/>
              <w:jc w:val="left"/>
              <w:textAlignment w:val="center"/>
              <w:rPr>
                <w:rFonts w:ascii="宋体" w:hAnsi="宋体" w:cs="宋体"/>
                <w:color w:val="000000"/>
                <w:kern w:val="0"/>
                <w:szCs w:val="21"/>
              </w:rPr>
            </w:pPr>
            <w:r>
              <w:rPr>
                <w:rFonts w:hint="eastAsia" w:ascii="宋体" w:hAnsi="宋体" w:eastAsia="宋体" w:cs="宋体"/>
                <w:color w:val="000000"/>
                <w:kern w:val="0"/>
                <w:szCs w:val="21"/>
              </w:rPr>
              <w:t>1、轨道材质：铝合金；</w:t>
            </w:r>
            <w:r>
              <w:rPr>
                <w:rFonts w:hint="eastAsia" w:ascii="宋体" w:hAnsi="宋体" w:eastAsia="宋体" w:cs="宋体"/>
                <w:kern w:val="0"/>
                <w:szCs w:val="21"/>
              </w:rPr>
              <w:t>符合《一般工业用铝及铝合金挤压型材》(GB/T 6892-2015)的标准要求</w:t>
            </w:r>
            <w:r>
              <w:rPr>
                <w:rFonts w:hint="eastAsia" w:ascii="宋体" w:hAnsi="宋体" w:cs="宋体"/>
                <w:kern w:val="0"/>
                <w:szCs w:val="21"/>
              </w:rPr>
              <w:t>；</w:t>
            </w:r>
            <w:r>
              <w:rPr>
                <w:rFonts w:hint="eastAsia" w:ascii="宋体" w:hAnsi="宋体" w:eastAsia="宋体" w:cs="宋体"/>
                <w:color w:val="000000"/>
                <w:kern w:val="0"/>
                <w:szCs w:val="21"/>
              </w:rPr>
              <w:t>符合《变形铝及铝合金化学成分》；（si）%≤0.42，（Fe）%≤0.30,(Cu）%≤0.04，（Mn）%≤0.02，（Mg）%0.45~0.9，(Cr)%≤0.015，（Zn）%≤0.10，（Ti）%≤0.02；(测试方法：GB/T20975.25-2008)</w:t>
            </w:r>
          </w:p>
          <w:p w14:paraId="0EDDFD74">
            <w:pPr>
              <w:widowControl/>
              <w:jc w:val="left"/>
              <w:textAlignment w:val="center"/>
              <w:rPr>
                <w:rFonts w:ascii="宋体" w:hAnsi="宋体" w:cs="宋体"/>
                <w:color w:val="000000"/>
                <w:kern w:val="0"/>
                <w:szCs w:val="21"/>
              </w:rPr>
            </w:pPr>
            <w:r>
              <w:rPr>
                <w:rFonts w:hint="eastAsia" w:ascii="宋体" w:hAnsi="宋体" w:eastAsia="宋体" w:cs="宋体"/>
                <w:kern w:val="0"/>
                <w:szCs w:val="21"/>
              </w:rPr>
              <w:t>2、耐中性盐雾：喷雾48小时达1级（测试方法QB/T3826-1999）</w:t>
            </w:r>
            <w:r>
              <w:rPr>
                <w:rFonts w:hint="eastAsia" w:ascii="宋体" w:hAnsi="宋体" w:cs="宋体"/>
                <w:kern w:val="0"/>
                <w:szCs w:val="21"/>
              </w:rPr>
              <w:t>；</w:t>
            </w:r>
            <w:r>
              <w:rPr>
                <w:rFonts w:hint="eastAsia" w:ascii="宋体" w:hAnsi="宋体" w:eastAsia="宋体" w:cs="宋体"/>
                <w:color w:val="000000"/>
                <w:kern w:val="0"/>
                <w:szCs w:val="21"/>
              </w:rPr>
              <w:t>轨道规格：宽≥</w:t>
            </w:r>
            <w:r>
              <w:rPr>
                <w:rFonts w:hint="eastAsia" w:ascii="宋体" w:hAnsi="宋体" w:cs="宋体"/>
                <w:color w:val="000000"/>
                <w:kern w:val="0"/>
                <w:szCs w:val="21"/>
              </w:rPr>
              <w:t>1</w:t>
            </w:r>
            <w:r>
              <w:rPr>
                <w:rFonts w:hint="eastAsia" w:ascii="宋体" w:hAnsi="宋体" w:eastAsia="宋体" w:cs="宋体"/>
                <w:color w:val="000000"/>
                <w:kern w:val="0"/>
                <w:szCs w:val="21"/>
              </w:rPr>
              <w:t>5mm、高≥</w:t>
            </w:r>
            <w:r>
              <w:rPr>
                <w:rFonts w:hint="eastAsia" w:ascii="宋体" w:hAnsi="宋体" w:cs="宋体"/>
                <w:color w:val="000000"/>
                <w:kern w:val="0"/>
                <w:szCs w:val="21"/>
              </w:rPr>
              <w:t>35</w:t>
            </w:r>
            <w:r>
              <w:rPr>
                <w:rFonts w:hint="eastAsia" w:ascii="宋体" w:hAnsi="宋体" w:eastAsia="宋体" w:cs="宋体"/>
                <w:color w:val="000000"/>
                <w:kern w:val="0"/>
                <w:szCs w:val="21"/>
              </w:rPr>
              <w:t>mm，壁厚≥1.</w:t>
            </w:r>
            <w:r>
              <w:rPr>
                <w:rFonts w:hint="eastAsia" w:ascii="宋体" w:hAnsi="宋体" w:cs="宋体"/>
                <w:color w:val="000000"/>
                <w:kern w:val="0"/>
                <w:szCs w:val="21"/>
              </w:rPr>
              <w:t>0</w:t>
            </w:r>
            <w:r>
              <w:rPr>
                <w:rFonts w:hint="eastAsia" w:ascii="宋体" w:hAnsi="宋体" w:eastAsia="宋体" w:cs="宋体"/>
                <w:color w:val="000000"/>
                <w:kern w:val="0"/>
                <w:szCs w:val="21"/>
              </w:rPr>
              <w:t>mm；</w:t>
            </w:r>
            <w:r>
              <w:rPr>
                <w:rFonts w:hint="eastAsia" w:ascii="宋体" w:hAnsi="宋体" w:eastAsia="宋体" w:cs="宋体"/>
                <w:kern w:val="0"/>
                <w:szCs w:val="21"/>
              </w:rPr>
              <w:t>轨道外观质量：符合GB/T 6892-2015标准；角度偏差（度）≤0.1、平面间隙（mm）≤0.1、扭拧度（mm）≤0.2、切斜度（度）≤0.1、抗拉强度（Rm）：N/m㎡≥200、规定非比例延伸强度（Rp0.2）：N/m㎡≥180、断后伸长率（A50mm）：≥11％；</w:t>
            </w:r>
            <w:r>
              <w:rPr>
                <w:rFonts w:hint="eastAsia" w:ascii="宋体" w:hAnsi="宋体" w:eastAsia="宋体" w:cs="宋体"/>
                <w:color w:val="000000"/>
                <w:kern w:val="0"/>
                <w:szCs w:val="21"/>
              </w:rPr>
              <w:t>轨道封盖：采用原生树脂或不锈钢，能卡在轨道不易脱落；托架：使用单触托架；轨道滑动流畅，静音效果较好</w:t>
            </w:r>
            <w:r>
              <w:rPr>
                <w:rFonts w:hint="eastAsia" w:ascii="宋体" w:hAnsi="宋体" w:cs="宋体"/>
                <w:color w:val="000000"/>
                <w:kern w:val="0"/>
                <w:szCs w:val="21"/>
              </w:rPr>
              <w:t>。</w:t>
            </w:r>
          </w:p>
        </w:tc>
      </w:tr>
      <w:tr w14:paraId="74A8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8" w:type="dxa"/>
            <w:vAlign w:val="center"/>
          </w:tcPr>
          <w:p w14:paraId="1D22B527">
            <w:pPr>
              <w:widowControl/>
              <w:ind w:firstLine="210" w:firstLineChars="100"/>
              <w:rPr>
                <w:rFonts w:ascii="宋体" w:hAnsi="宋体" w:cs="宋体"/>
                <w:bCs/>
                <w:color w:val="000000"/>
                <w:szCs w:val="21"/>
              </w:rPr>
            </w:pPr>
            <w:r>
              <w:rPr>
                <w:rFonts w:hint="eastAsia" w:ascii="宋体" w:hAnsi="宋体" w:cs="宋体"/>
                <w:bCs/>
                <w:color w:val="000000"/>
                <w:szCs w:val="21"/>
              </w:rPr>
              <w:t>3</w:t>
            </w:r>
          </w:p>
        </w:tc>
        <w:tc>
          <w:tcPr>
            <w:tcW w:w="1073" w:type="dxa"/>
            <w:vAlign w:val="center"/>
          </w:tcPr>
          <w:p w14:paraId="09E75CA5">
            <w:pPr>
              <w:rPr>
                <w:rFonts w:ascii="宋体" w:hAnsi="宋体" w:cs="宋体"/>
                <w:color w:val="000000"/>
                <w:kern w:val="0"/>
                <w:szCs w:val="21"/>
              </w:rPr>
            </w:pPr>
            <w:r>
              <w:rPr>
                <w:rFonts w:hint="eastAsia" w:ascii="宋体" w:hAnsi="宋体" w:cs="宋体"/>
                <w:color w:val="000000"/>
                <w:kern w:val="0"/>
                <w:szCs w:val="21"/>
              </w:rPr>
              <w:t>专用隔帘轨道吊杆（含固定配件）</w:t>
            </w:r>
          </w:p>
        </w:tc>
        <w:tc>
          <w:tcPr>
            <w:tcW w:w="7127" w:type="dxa"/>
            <w:vAlign w:val="center"/>
          </w:tcPr>
          <w:p w14:paraId="28D73499">
            <w:pPr>
              <w:widowControl/>
              <w:numPr>
                <w:ilvl w:val="0"/>
                <w:numId w:val="4"/>
              </w:numPr>
              <w:jc w:val="left"/>
              <w:textAlignment w:val="center"/>
              <w:rPr>
                <w:rFonts w:ascii="宋体" w:hAnsi="宋体" w:cs="宋体"/>
                <w:kern w:val="0"/>
                <w:szCs w:val="21"/>
              </w:rPr>
            </w:pPr>
            <w:r>
              <w:rPr>
                <w:rFonts w:hint="eastAsia" w:ascii="宋体" w:hAnsi="宋体" w:eastAsia="宋体" w:cs="宋体"/>
                <w:color w:val="000000"/>
                <w:kern w:val="0"/>
                <w:szCs w:val="21"/>
              </w:rPr>
              <w:t>材质：铝合金；</w:t>
            </w:r>
            <w:r>
              <w:rPr>
                <w:rFonts w:hint="eastAsia" w:ascii="宋体" w:hAnsi="宋体" w:eastAsia="宋体" w:cs="宋体"/>
                <w:kern w:val="0"/>
                <w:szCs w:val="21"/>
              </w:rPr>
              <w:t>符合《一般工业用铝及铝合金挤压型材》(GB/T 6892-2015)的标准要求</w:t>
            </w:r>
            <w:r>
              <w:rPr>
                <w:rFonts w:hint="eastAsia" w:ascii="宋体" w:hAnsi="宋体" w:cs="宋体"/>
                <w:kern w:val="0"/>
                <w:szCs w:val="21"/>
              </w:rPr>
              <w:t>；</w:t>
            </w:r>
            <w:r>
              <w:rPr>
                <w:rFonts w:hint="eastAsia" w:ascii="宋体" w:hAnsi="宋体" w:eastAsia="宋体" w:cs="宋体"/>
                <w:color w:val="000000"/>
                <w:kern w:val="0"/>
                <w:szCs w:val="21"/>
              </w:rPr>
              <w:t>符合《变形铝及铝合金化学成分》；（si）%≤0.42，（Fe）%≤0.30,(Cu）%≤0.04，（Mn）%≤0.02，（Mg）%0.45~0.9，(Cr)%≤0.015，（Zn）%≤0.10，（Ti）%≤0.02；(测试方法：GB/T20975.25-2008)</w:t>
            </w:r>
          </w:p>
          <w:p w14:paraId="71FA07A4">
            <w:pPr>
              <w:widowControl/>
              <w:numPr>
                <w:ilvl w:val="0"/>
                <w:numId w:val="4"/>
              </w:numPr>
              <w:jc w:val="left"/>
              <w:textAlignment w:val="center"/>
              <w:rPr>
                <w:rFonts w:ascii="宋体" w:hAnsi="宋体" w:cs="宋体"/>
                <w:kern w:val="0"/>
                <w:szCs w:val="21"/>
              </w:rPr>
            </w:pPr>
            <w:r>
              <w:rPr>
                <w:rFonts w:hint="eastAsia" w:ascii="宋体" w:hAnsi="宋体" w:cs="宋体"/>
                <w:kern w:val="0"/>
                <w:szCs w:val="21"/>
              </w:rPr>
              <w:t>圆管直径10mm，厚度</w:t>
            </w:r>
            <w:r>
              <w:rPr>
                <w:rFonts w:hint="eastAsia" w:ascii="宋体" w:hAnsi="宋体" w:eastAsia="宋体" w:cs="宋体"/>
                <w:color w:val="000000"/>
                <w:kern w:val="0"/>
                <w:szCs w:val="21"/>
              </w:rPr>
              <w:t>≥</w:t>
            </w:r>
            <w:r>
              <w:rPr>
                <w:rFonts w:hint="eastAsia" w:ascii="宋体" w:hAnsi="宋体" w:cs="宋体"/>
                <w:color w:val="000000"/>
                <w:kern w:val="0"/>
                <w:szCs w:val="21"/>
              </w:rPr>
              <w:t>10</w:t>
            </w:r>
            <w:r>
              <w:rPr>
                <w:rFonts w:hint="eastAsia" w:ascii="宋体" w:hAnsi="宋体" w:eastAsia="宋体" w:cs="宋体"/>
                <w:color w:val="000000"/>
                <w:kern w:val="0"/>
                <w:szCs w:val="21"/>
              </w:rPr>
              <w:t>mm</w:t>
            </w:r>
          </w:p>
          <w:p w14:paraId="19F6264F">
            <w:pPr>
              <w:widowControl/>
              <w:numPr>
                <w:ilvl w:val="0"/>
                <w:numId w:val="4"/>
              </w:numPr>
              <w:jc w:val="left"/>
              <w:textAlignment w:val="center"/>
              <w:rPr>
                <w:rFonts w:ascii="宋体" w:hAnsi="宋体" w:cs="宋体"/>
                <w:kern w:val="0"/>
                <w:szCs w:val="21"/>
              </w:rPr>
            </w:pPr>
            <w:r>
              <w:rPr>
                <w:rFonts w:hint="eastAsia" w:ascii="宋体" w:hAnsi="宋体" w:cs="宋体"/>
                <w:kern w:val="0"/>
                <w:szCs w:val="21"/>
              </w:rPr>
              <w:t>配套安装码：</w:t>
            </w:r>
            <w:r>
              <w:rPr>
                <w:rFonts w:hint="eastAsia" w:ascii="宋体" w:hAnsi="宋体" w:eastAsia="宋体" w:cs="宋体"/>
                <w:color w:val="000000"/>
                <w:kern w:val="0"/>
                <w:szCs w:val="21"/>
              </w:rPr>
              <w:t>≥</w:t>
            </w:r>
            <w:r>
              <w:rPr>
                <w:rFonts w:hint="eastAsia" w:ascii="宋体" w:hAnsi="宋体" w:cs="宋体"/>
                <w:kern w:val="0"/>
                <w:szCs w:val="21"/>
              </w:rPr>
              <w:t>50mm*</w:t>
            </w:r>
            <w:r>
              <w:rPr>
                <w:rFonts w:hint="eastAsia" w:ascii="宋体" w:hAnsi="宋体" w:eastAsia="宋体" w:cs="宋体"/>
                <w:color w:val="000000"/>
                <w:kern w:val="0"/>
                <w:szCs w:val="21"/>
              </w:rPr>
              <w:t>≥</w:t>
            </w:r>
            <w:r>
              <w:rPr>
                <w:rFonts w:hint="eastAsia" w:ascii="宋体" w:hAnsi="宋体" w:cs="宋体"/>
                <w:kern w:val="0"/>
                <w:szCs w:val="21"/>
              </w:rPr>
              <w:t>20mm铝合金材质</w:t>
            </w:r>
          </w:p>
          <w:p w14:paraId="603FAA48">
            <w:pPr>
              <w:widowControl/>
              <w:numPr>
                <w:ilvl w:val="0"/>
                <w:numId w:val="4"/>
              </w:numPr>
              <w:jc w:val="left"/>
              <w:textAlignment w:val="center"/>
              <w:rPr>
                <w:rFonts w:ascii="宋体" w:hAnsi="宋体" w:cs="宋体"/>
                <w:kern w:val="0"/>
                <w:szCs w:val="21"/>
              </w:rPr>
            </w:pPr>
            <w:r>
              <w:rPr>
                <w:color w:val="FF0000"/>
              </w:rPr>
              <w:t>如</w:t>
            </w:r>
            <w:r>
              <w:rPr>
                <w:rFonts w:hint="eastAsia"/>
                <w:color w:val="FF0000"/>
              </w:rPr>
              <w:t>隔</w:t>
            </w:r>
            <w:r>
              <w:rPr>
                <w:color w:val="FF0000"/>
              </w:rPr>
              <w:t>帘安装的地方为铝制天花板，投标人应当在保证安装安全性下对轨道的安装进行加固，加固方式的强度、效果不得低于：从水泥天花上打入固定螺丝（螺丝深度不低于5CM）后向下延伸</w:t>
            </w:r>
            <w:r>
              <w:rPr>
                <w:rFonts w:hint="eastAsia" w:ascii="宋体" w:hAnsi="宋体" w:cs="宋体"/>
                <w:color w:val="FF0000"/>
                <w:kern w:val="0"/>
                <w:szCs w:val="21"/>
              </w:rPr>
              <w:t>吊杆</w:t>
            </w:r>
            <w:r>
              <w:rPr>
                <w:color w:val="FF0000"/>
              </w:rPr>
              <w:t>到铝制天花版上，再增加</w:t>
            </w:r>
            <w:r>
              <w:rPr>
                <w:rFonts w:hint="eastAsia" w:ascii="宋体" w:hAnsi="宋体" w:cs="宋体"/>
                <w:color w:val="FF0000"/>
                <w:kern w:val="0"/>
                <w:szCs w:val="21"/>
              </w:rPr>
              <w:t>固定配件</w:t>
            </w:r>
            <w:r>
              <w:rPr>
                <w:color w:val="FF0000"/>
              </w:rPr>
              <w:t>以加固后再安装轨道</w:t>
            </w:r>
            <w:r>
              <w:rPr>
                <w:rFonts w:hint="eastAsia"/>
                <w:color w:val="FF0000"/>
              </w:rPr>
              <w:t>。</w:t>
            </w:r>
          </w:p>
        </w:tc>
      </w:tr>
      <w:tr w14:paraId="08E43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1" w:hRule="atLeast"/>
        </w:trPr>
        <w:tc>
          <w:tcPr>
            <w:tcW w:w="838" w:type="dxa"/>
            <w:vAlign w:val="center"/>
          </w:tcPr>
          <w:p w14:paraId="62606236">
            <w:pPr>
              <w:widowControl/>
              <w:ind w:firstLine="210" w:firstLineChars="100"/>
              <w:rPr>
                <w:rFonts w:ascii="宋体" w:hAnsi="宋体" w:cs="宋体"/>
                <w:bCs/>
                <w:color w:val="000000"/>
                <w:szCs w:val="21"/>
              </w:rPr>
            </w:pPr>
            <w:r>
              <w:rPr>
                <w:rFonts w:hint="eastAsia" w:ascii="宋体" w:hAnsi="宋体" w:cs="宋体"/>
                <w:bCs/>
                <w:color w:val="000000"/>
                <w:szCs w:val="21"/>
              </w:rPr>
              <w:t>4</w:t>
            </w:r>
          </w:p>
        </w:tc>
        <w:tc>
          <w:tcPr>
            <w:tcW w:w="1073" w:type="dxa"/>
            <w:vAlign w:val="center"/>
          </w:tcPr>
          <w:p w14:paraId="2B2774CF">
            <w:pPr>
              <w:rPr>
                <w:rFonts w:ascii="宋体" w:hAnsi="宋体" w:cs="宋体"/>
                <w:bCs/>
                <w:color w:val="000000"/>
                <w:szCs w:val="21"/>
              </w:rPr>
            </w:pPr>
            <w:r>
              <w:rPr>
                <w:rFonts w:hint="eastAsia" w:ascii="宋体" w:hAnsi="宋体" w:cs="宋体"/>
                <w:bCs/>
                <w:color w:val="000000"/>
                <w:szCs w:val="21"/>
              </w:rPr>
              <w:t>布头带（含加工费消毒定型）配套钩子</w:t>
            </w:r>
          </w:p>
        </w:tc>
        <w:tc>
          <w:tcPr>
            <w:tcW w:w="7127" w:type="dxa"/>
            <w:vAlign w:val="center"/>
          </w:tcPr>
          <w:p w14:paraId="3CC987C2">
            <w:pPr>
              <w:keepNext/>
              <w:numPr>
                <w:ilvl w:val="0"/>
                <w:numId w:val="5"/>
              </w:numPr>
              <w:adjustRightInd w:val="0"/>
              <w:spacing w:before="60" w:after="60"/>
              <w:jc w:val="left"/>
              <w:textAlignment w:val="center"/>
              <w:rPr>
                <w:rFonts w:ascii="宋体" w:hAnsi="宋体" w:cs="宋体"/>
                <w:snapToGrid w:val="0"/>
                <w:color w:val="000000"/>
                <w:szCs w:val="21"/>
              </w:rPr>
            </w:pPr>
            <w:r>
              <w:rPr>
                <w:rFonts w:hint="eastAsia" w:ascii="宋体" w:hAnsi="宋体" w:cs="宋体"/>
                <w:snapToGrid w:val="0"/>
                <w:color w:val="000000"/>
                <w:szCs w:val="21"/>
              </w:rPr>
              <w:t>纤维含量：100%聚酯纤维（方法标准：FZ/T 01057.1-2007、FZ/T 01057.2-2007、FZ/T 01057.3-2007、FZ/T 01057.4-2007）；甲醛含量(mg/kg)：不得检出（方法标准：GB/T 2912.1-2009）；耐水色牢度（级）：≥4（方法标准：GB/T 5713-2013）；</w:t>
            </w:r>
          </w:p>
          <w:p w14:paraId="6108B83B">
            <w:pPr>
              <w:keepNext/>
              <w:adjustRightInd w:val="0"/>
              <w:spacing w:before="60" w:after="60"/>
              <w:jc w:val="left"/>
              <w:textAlignment w:val="center"/>
              <w:rPr>
                <w:rFonts w:ascii="宋体" w:hAnsi="宋体" w:cs="宋体"/>
                <w:snapToGrid w:val="0"/>
                <w:color w:val="000000"/>
                <w:szCs w:val="21"/>
              </w:rPr>
            </w:pPr>
            <w:r>
              <w:rPr>
                <w:rFonts w:hint="eastAsia" w:ascii="宋体" w:hAnsi="宋体" w:cs="宋体"/>
                <w:color w:val="000000"/>
                <w:kern w:val="0"/>
                <w:szCs w:val="21"/>
              </w:rPr>
              <w:t>2</w:t>
            </w:r>
            <w:r>
              <w:rPr>
                <w:rFonts w:hint="eastAsia" w:ascii="宋体" w:hAnsi="宋体" w:eastAsia="宋体" w:cs="宋体"/>
                <w:color w:val="000000"/>
                <w:kern w:val="0"/>
                <w:szCs w:val="21"/>
              </w:rPr>
              <w:t>、挂钩采用不锈钢材质；经久耐用；承重力强，拆装方便。</w:t>
            </w:r>
          </w:p>
        </w:tc>
      </w:tr>
    </w:tbl>
    <w:p w14:paraId="0595C989">
      <w:pPr>
        <w:pStyle w:val="14"/>
        <w:rPr>
          <w:rFonts w:hint="default"/>
          <w:b/>
          <w:bCs/>
        </w:rPr>
      </w:pPr>
    </w:p>
    <w:p w14:paraId="59BECB80">
      <w:pPr>
        <w:pStyle w:val="14"/>
        <w:rPr>
          <w:rFonts w:hint="default"/>
          <w:b/>
          <w:bCs/>
        </w:rPr>
      </w:pPr>
    </w:p>
    <w:p w14:paraId="0085C539">
      <w:pPr>
        <w:rPr>
          <w:sz w:val="24"/>
        </w:rPr>
      </w:pPr>
    </w:p>
    <w:p w14:paraId="71534E5B">
      <w:pPr>
        <w:rPr>
          <w:sz w:val="24"/>
        </w:rPr>
      </w:pPr>
      <w:r>
        <w:rPr>
          <w:rFonts w:hint="eastAsia"/>
          <w:sz w:val="24"/>
        </w:rPr>
        <w:t>备注：包含设备费、运输费、安装费、验收费、壹年质保费及井道改建、装饰。</w:t>
      </w:r>
    </w:p>
    <w:p w14:paraId="27949EFD">
      <w:pPr>
        <w:rPr>
          <w:sz w:val="24"/>
        </w:rPr>
      </w:pPr>
      <w:r>
        <w:rPr>
          <w:rFonts w:hint="eastAsia"/>
          <w:sz w:val="24"/>
        </w:rPr>
        <w:t>（四）施工工期：</w:t>
      </w:r>
    </w:p>
    <w:p w14:paraId="2A8FB1D3">
      <w:pPr>
        <w:rPr>
          <w:sz w:val="24"/>
        </w:rPr>
      </w:pPr>
      <w:r>
        <w:rPr>
          <w:rFonts w:hint="eastAsia"/>
          <w:sz w:val="24"/>
        </w:rPr>
        <w:t>生产周期为</w:t>
      </w:r>
      <w:r>
        <w:rPr>
          <w:sz w:val="24"/>
        </w:rPr>
        <w:t>30</w:t>
      </w:r>
      <w:r>
        <w:rPr>
          <w:rFonts w:hint="eastAsia"/>
          <w:sz w:val="24"/>
        </w:rPr>
        <w:t>个日历天、安装</w:t>
      </w:r>
      <w:r>
        <w:rPr>
          <w:sz w:val="24"/>
        </w:rPr>
        <w:t>7</w:t>
      </w:r>
      <w:r>
        <w:rPr>
          <w:rFonts w:hint="eastAsia"/>
          <w:sz w:val="24"/>
        </w:rPr>
        <w:t>个日历天。</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A4FBDA"/>
    <w:multiLevelType w:val="singleLevel"/>
    <w:tmpl w:val="C9A4FBDA"/>
    <w:lvl w:ilvl="0" w:tentative="0">
      <w:start w:val="1"/>
      <w:numFmt w:val="decimal"/>
      <w:suff w:val="nothing"/>
      <w:lvlText w:val="%1、"/>
      <w:lvlJc w:val="left"/>
    </w:lvl>
  </w:abstractNum>
  <w:abstractNum w:abstractNumId="1">
    <w:nsid w:val="04F14C9F"/>
    <w:multiLevelType w:val="multilevel"/>
    <w:tmpl w:val="04F14C9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FC02FFF"/>
    <w:multiLevelType w:val="singleLevel"/>
    <w:tmpl w:val="0FC02FFF"/>
    <w:lvl w:ilvl="0" w:tentative="0">
      <w:start w:val="1"/>
      <w:numFmt w:val="decimal"/>
      <w:suff w:val="nothing"/>
      <w:lvlText w:val="%1、"/>
      <w:lvlJc w:val="left"/>
    </w:lvl>
  </w:abstractNum>
  <w:abstractNum w:abstractNumId="3">
    <w:nsid w:val="34305F32"/>
    <w:multiLevelType w:val="singleLevel"/>
    <w:tmpl w:val="34305F32"/>
    <w:lvl w:ilvl="0" w:tentative="0">
      <w:start w:val="3"/>
      <w:numFmt w:val="decimal"/>
      <w:suff w:val="nothing"/>
      <w:lvlText w:val="%1、"/>
      <w:lvlJc w:val="left"/>
    </w:lvl>
  </w:abstractNum>
  <w:abstractNum w:abstractNumId="4">
    <w:nsid w:val="36C15082"/>
    <w:multiLevelType w:val="singleLevel"/>
    <w:tmpl w:val="36C15082"/>
    <w:lvl w:ilvl="0" w:tentative="0">
      <w:start w:val="1"/>
      <w:numFmt w:val="chineseCounting"/>
      <w:suff w:val="nothing"/>
      <w:lvlText w:val="%1、"/>
      <w:lvlJc w:val="left"/>
      <w:pPr>
        <w:ind w:left="0" w:firstLine="420"/>
      </w:pPr>
    </w:lvl>
  </w:abstractNum>
  <w:num w:numId="1">
    <w:abstractNumId w:val="4"/>
    <w:lvlOverride w:ilvl="0">
      <w:startOverride w:val="1"/>
    </w:lvlOverride>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660"/>
    <w:rsid w:val="003C3A7B"/>
    <w:rsid w:val="00474172"/>
    <w:rsid w:val="00494F9E"/>
    <w:rsid w:val="00624C52"/>
    <w:rsid w:val="008C75F1"/>
    <w:rsid w:val="00BC3ADC"/>
    <w:rsid w:val="00DF6D4D"/>
    <w:rsid w:val="00F32BFA"/>
    <w:rsid w:val="00F90660"/>
    <w:rsid w:val="00F9134E"/>
    <w:rsid w:val="396F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0"/>
    <w:pPr>
      <w:ind w:firstLine="420"/>
    </w:pPr>
    <w:rPr>
      <w:sz w:val="28"/>
      <w:szCs w:val="28"/>
    </w:rPr>
  </w:style>
  <w:style w:type="paragraph" w:styleId="3">
    <w:name w:val="Body Text"/>
    <w:basedOn w:val="1"/>
    <w:next w:val="4"/>
    <w:link w:val="13"/>
    <w:qFormat/>
    <w:uiPriority w:val="0"/>
    <w:pPr>
      <w:spacing w:after="120"/>
    </w:pPr>
    <w:rPr>
      <w:rFonts w:ascii="Times New Roman" w:hAnsi="Times New Roman" w:eastAsia="宋体" w:cs="Times New Roman"/>
    </w:rPr>
  </w:style>
  <w:style w:type="paragraph" w:styleId="4">
    <w:name w:val="Body Text 2"/>
    <w:basedOn w:val="1"/>
    <w:link w:val="15"/>
    <w:semiHidden/>
    <w:unhideWhenUsed/>
    <w:qFormat/>
    <w:uiPriority w:val="99"/>
    <w:pPr>
      <w:spacing w:after="120" w:line="480" w:lineRule="auto"/>
    </w:p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paragraph" w:styleId="11">
    <w:name w:val="List Paragraph"/>
    <w:basedOn w:val="1"/>
    <w:qFormat/>
    <w:uiPriority w:val="99"/>
    <w:pPr>
      <w:ind w:firstLine="420" w:firstLineChars="200"/>
    </w:pPr>
  </w:style>
  <w:style w:type="paragraph" w:customStyle="1" w:styleId="12">
    <w:name w:val="Normal Indent1"/>
    <w:basedOn w:val="1"/>
    <w:qFormat/>
    <w:uiPriority w:val="0"/>
    <w:pPr>
      <w:widowControl/>
      <w:ind w:firstLine="420"/>
      <w:jc w:val="left"/>
    </w:pPr>
    <w:rPr>
      <w:rFonts w:ascii="Times New Roman" w:hAnsi="Times New Roman" w:eastAsia="宋体" w:cs="Times New Roman"/>
      <w:kern w:val="0"/>
      <w:szCs w:val="20"/>
    </w:rPr>
  </w:style>
  <w:style w:type="character" w:customStyle="1" w:styleId="13">
    <w:name w:val="正文文本 Char"/>
    <w:basedOn w:val="8"/>
    <w:link w:val="3"/>
    <w:qFormat/>
    <w:uiPriority w:val="0"/>
    <w:rPr>
      <w:rFonts w:ascii="Times New Roman" w:hAnsi="Times New Roman" w:eastAsia="宋体" w:cs="Times New Roman"/>
      <w:szCs w:val="24"/>
    </w:rPr>
  </w:style>
  <w:style w:type="paragraph" w:customStyle="1" w:styleId="14">
    <w:name w:val="null3"/>
    <w:hidden/>
    <w:qFormat/>
    <w:uiPriority w:val="0"/>
    <w:rPr>
      <w:rFonts w:hint="eastAsia" w:asciiTheme="minorHAnsi" w:hAnsiTheme="minorHAnsi" w:eastAsiaTheme="minorEastAsia" w:cstheme="minorBidi"/>
      <w:kern w:val="0"/>
      <w:sz w:val="20"/>
      <w:szCs w:val="20"/>
      <w:lang w:val="en-US" w:eastAsia="zh-Hans" w:bidi="ar-SA"/>
    </w:rPr>
  </w:style>
  <w:style w:type="character" w:customStyle="1" w:styleId="15">
    <w:name w:val="正文文本 2 Char"/>
    <w:basedOn w:val="8"/>
    <w:link w:val="4"/>
    <w:semiHidden/>
    <w:qFormat/>
    <w:uiPriority w:val="99"/>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2852</Words>
  <Characters>4135</Characters>
  <Lines>31</Lines>
  <Paragraphs>8</Paragraphs>
  <TotalTime>16</TotalTime>
  <ScaleCrop>false</ScaleCrop>
  <LinksUpToDate>false</LinksUpToDate>
  <CharactersWithSpaces>4202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2025-08-26T07:18:00Z</dcterms:created>
  <dc:creator>巩雨桐</dc:creator>
  <cp:lastModifiedBy>巾凡</cp:lastModifiedBy>
  <dcterms:modified xsi:type="dcterms:W3CDTF">2025-08-28T08:04:48Z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eyJoZGlkIjoiZDYwNWUwYjgwYWQ0ZGM1MTI0Y2U0MWEwYWVhOGM4NTMiLCJ1c2VySWQiOiIzOTM1MzM2NjEifQ==</vt:lpwstr>
  </property>
  <property fmtid="{D5CDD505-2E9C-101B-9397-08002B2CF9AE}" pid="3" name="KSOProductBuildVer">
    <vt:lpwstr>2052-12.1.0.22529</vt:lpwstr>
  </property>
  <property fmtid="{D5CDD505-2E9C-101B-9397-08002B2CF9AE}" pid="4" name="ICV">
    <vt:lpwstr>57A8B5D79D934D4EA1829A98732197C6_12</vt:lpwstr>
  </property>
</Properties>
</file>